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107D0" w14:textId="77777777" w:rsidR="00E51227" w:rsidRPr="00DC4B04" w:rsidRDefault="00E51227" w:rsidP="00D173AD">
      <w:pPr>
        <w:ind w:left="990"/>
        <w:rPr>
          <w:lang w:val="en-CA"/>
        </w:rPr>
      </w:pPr>
    </w:p>
    <w:p w14:paraId="6E157E7E" w14:textId="77777777" w:rsidR="00E64092" w:rsidRDefault="00E64092" w:rsidP="00D173AD">
      <w:pPr>
        <w:ind w:left="990"/>
        <w:rPr>
          <w:lang w:val="en-CA"/>
        </w:rPr>
      </w:pPr>
    </w:p>
    <w:p w14:paraId="4177E49E" w14:textId="77777777" w:rsidR="00CD434E" w:rsidRPr="00DC4B04" w:rsidRDefault="00CD434E" w:rsidP="00D173AD">
      <w:pPr>
        <w:ind w:left="990"/>
        <w:rPr>
          <w:lang w:val="en-CA"/>
        </w:rPr>
      </w:pPr>
    </w:p>
    <w:p w14:paraId="49A29000" w14:textId="77777777" w:rsidR="00014054" w:rsidRPr="00DC4B04" w:rsidRDefault="00DC4B04" w:rsidP="00D173AD">
      <w:pPr>
        <w:pStyle w:val="Heading1"/>
        <w:spacing w:after="120"/>
        <w:ind w:left="990"/>
        <w:rPr>
          <w:b w:val="0"/>
          <w:bCs/>
          <w:color w:val="467C81" w:themeColor="accent3"/>
          <w:sz w:val="44"/>
          <w:szCs w:val="28"/>
        </w:rPr>
      </w:pPr>
      <w:r>
        <w:rPr>
          <w:b w:val="0"/>
          <w:bCs/>
          <w:color w:val="467C81" w:themeColor="accent3"/>
          <w:sz w:val="44"/>
          <w:szCs w:val="28"/>
        </w:rPr>
        <w:t>Sécurité publique Canada</w:t>
      </w:r>
    </w:p>
    <w:p w14:paraId="7C7B1CF3" w14:textId="26D558B6" w:rsidR="00CD5DC0" w:rsidRPr="00DC4B04" w:rsidRDefault="00DC4B04" w:rsidP="00CD5DC0">
      <w:pPr>
        <w:pStyle w:val="Heading1"/>
        <w:spacing w:before="0" w:after="120"/>
        <w:ind w:left="994"/>
        <w:rPr>
          <w:sz w:val="72"/>
          <w:szCs w:val="40"/>
        </w:rPr>
      </w:pPr>
      <w:r>
        <w:rPr>
          <w:sz w:val="72"/>
          <w:szCs w:val="40"/>
        </w:rPr>
        <w:t>L</w:t>
      </w:r>
      <w:r w:rsidR="003B5177">
        <w:rPr>
          <w:sz w:val="72"/>
          <w:szCs w:val="40"/>
        </w:rPr>
        <w:t>’</w:t>
      </w:r>
      <w:r>
        <w:rPr>
          <w:sz w:val="72"/>
          <w:szCs w:val="40"/>
        </w:rPr>
        <w:t xml:space="preserve">histoire de Tyler </w:t>
      </w:r>
    </w:p>
    <w:p w14:paraId="1A128506" w14:textId="77777777" w:rsidR="00014054" w:rsidRPr="00DC4B04" w:rsidRDefault="00DC4B04" w:rsidP="00D173AD">
      <w:pPr>
        <w:pStyle w:val="Heading1"/>
        <w:spacing w:before="0"/>
        <w:ind w:left="990"/>
      </w:pPr>
      <w:r>
        <w:t xml:space="preserve">Complément méthodologique </w:t>
      </w:r>
    </w:p>
    <w:p w14:paraId="1A9B60CB" w14:textId="5216DBEC" w:rsidR="00DA4F1A" w:rsidRDefault="00B4677F" w:rsidP="002E17C3">
      <w:pPr>
        <w:pStyle w:val="Subtitle"/>
        <w:spacing w:after="0" w:line="240" w:lineRule="auto"/>
        <w:ind w:left="994" w:right="720"/>
      </w:pPr>
      <w:r>
        <w:t>D</w:t>
      </w:r>
      <w:r w:rsidR="00DC4B04">
        <w:t xml:space="preserve">ivision de la recherche, Secteur de la prévention du crime      </w:t>
      </w:r>
    </w:p>
    <w:p w14:paraId="5385FCA3" w14:textId="443DAC6B" w:rsidR="00014054" w:rsidRPr="00DA4F1A" w:rsidRDefault="00DA4F1A" w:rsidP="002E17C3">
      <w:pPr>
        <w:pStyle w:val="DateDetails"/>
        <w:spacing w:line="240" w:lineRule="auto"/>
        <w:ind w:left="990" w:right="2700"/>
        <w:rPr>
          <w:color w:val="6175AE" w:themeColor="accent5"/>
        </w:rPr>
      </w:pPr>
      <w:r w:rsidRPr="00DA4F1A">
        <w:rPr>
          <w:color w:val="6175AE" w:themeColor="accent5"/>
        </w:rPr>
        <w:t>R001-MC-2026</w:t>
      </w:r>
      <w:r w:rsidR="00DC4B04" w:rsidRPr="00DA4F1A">
        <w:rPr>
          <w:color w:val="6175AE" w:themeColor="accent5"/>
        </w:rPr>
        <w:t xml:space="preserve">                </w:t>
      </w:r>
    </w:p>
    <w:p w14:paraId="5639E1AA" w14:textId="44143F5D" w:rsidR="005F288B" w:rsidRPr="00DC4B04" w:rsidRDefault="00BC1B61" w:rsidP="00D173AD">
      <w:pPr>
        <w:pStyle w:val="DateDetails"/>
        <w:ind w:left="990" w:right="2700"/>
      </w:pPr>
      <w:r>
        <w:rPr>
          <w:color w:val="6175AE" w:themeColor="accent5"/>
        </w:rPr>
        <w:t>février</w:t>
      </w:r>
      <w:r w:rsidR="00A46A4B">
        <w:rPr>
          <w:color w:val="6175AE" w:themeColor="accent5"/>
        </w:rPr>
        <w:t xml:space="preserve"> 2026</w:t>
      </w:r>
      <w:r w:rsidR="00DC4B04">
        <w:rPr>
          <w:color w:val="6175AE" w:themeColor="accent5"/>
        </w:rPr>
        <w:t xml:space="preserve"> </w:t>
      </w:r>
      <w:r w:rsidR="00DC4B04">
        <w:br w:type="page"/>
      </w:r>
    </w:p>
    <w:p w14:paraId="0593188B" w14:textId="41B3AAE7" w:rsidR="00D52D26" w:rsidRPr="00DC4B04" w:rsidRDefault="0099490E" w:rsidP="00D73061">
      <w:pPr>
        <w:spacing w:after="0" w:line="312" w:lineRule="auto"/>
        <w:ind w:right="-705"/>
      </w:pPr>
      <w:bookmarkStart w:id="0" w:name="_Hlk153280099"/>
      <w:r>
        <w:rPr>
          <w:noProof/>
        </w:rPr>
        <w:drawing>
          <wp:inline distT="0" distB="0" distL="0" distR="0" wp14:anchorId="5D7FFC28" wp14:editId="7AA600C8">
            <wp:extent cx="1076325" cy="1076325"/>
            <wp:effectExtent l="0" t="0" r="9525" b="9525"/>
            <wp:docPr id="328106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0D24F521" w14:textId="77777777" w:rsidR="0099490E" w:rsidRPr="0099490E" w:rsidRDefault="00DC4B04" w:rsidP="0099490E">
      <w:pPr>
        <w:spacing w:line="312" w:lineRule="auto"/>
        <w:rPr>
          <w:lang w:val="en-CA"/>
        </w:rPr>
      </w:pPr>
      <w:r>
        <w:t>Vous pouvez consulter le présent document en ligne à l</w:t>
      </w:r>
      <w:r w:rsidR="003B5177">
        <w:t>’</w:t>
      </w:r>
      <w:r>
        <w:t>adresse suivante</w:t>
      </w:r>
      <w:r w:rsidR="0099490E">
        <w:t xml:space="preserve"> : </w:t>
      </w:r>
      <w:hyperlink r:id="rId13" w:history="1">
        <w:r w:rsidR="0099490E" w:rsidRPr="0099490E">
          <w:rPr>
            <w:rStyle w:val="Hyperlink"/>
            <w:lang w:val="en-CA"/>
          </w:rPr>
          <w:t>https://www.securitepublique.gc.ca/cnt/rsrcs/pblctns/tlrs-stry-r001-2026/mthdlgcl-cmpnn-fr.aspx</w:t>
        </w:r>
      </w:hyperlink>
    </w:p>
    <w:p w14:paraId="51DC626A" w14:textId="64B04C02" w:rsidR="00CD5DC0" w:rsidRPr="00DC4B04" w:rsidRDefault="00DC4B04" w:rsidP="00CD5DC0">
      <w:pPr>
        <w:spacing w:line="312" w:lineRule="auto"/>
      </w:pPr>
      <w:r>
        <w:t xml:space="preserve">Ce complément méthodologique complète le </w:t>
      </w:r>
      <w:hyperlink r:id="rId14" w:history="1">
        <w:r>
          <w:rPr>
            <w:rStyle w:val="Hyperlink"/>
          </w:rPr>
          <w:t>rapport L</w:t>
        </w:r>
        <w:r w:rsidR="003B5177">
          <w:rPr>
            <w:rStyle w:val="Hyperlink"/>
          </w:rPr>
          <w:t>’</w:t>
        </w:r>
        <w:r>
          <w:rPr>
            <w:rStyle w:val="Hyperlink"/>
          </w:rPr>
          <w:t>histoire de Tyler</w:t>
        </w:r>
      </w:hyperlink>
      <w:r>
        <w:t xml:space="preserve"> de 2025. Il détaille les cadres directeurs, les hypothèses clés et les calculs utilisés dans l</w:t>
      </w:r>
      <w:r w:rsidR="003B5177">
        <w:t>’</w:t>
      </w:r>
      <w:r>
        <w:t>histoire de Tyler, y compris les explications de l</w:t>
      </w:r>
      <w:r w:rsidR="003B5177">
        <w:t>’</w:t>
      </w:r>
      <w:r>
        <w:t>approche du rapport à l</w:t>
      </w:r>
      <w:r w:rsidR="003B5177">
        <w:t>’</w:t>
      </w:r>
      <w:r>
        <w:t>égard des facteurs de risque, les calculs du coût de la criminalité, les analyses coûts-avantages et les limites connexes. Ensemble, ce guide d</w:t>
      </w:r>
      <w:r w:rsidR="003B5177">
        <w:t>’</w:t>
      </w:r>
      <w:r>
        <w:t>accompagnement et le rapport sur l</w:t>
      </w:r>
      <w:r w:rsidR="003B5177">
        <w:t>’</w:t>
      </w:r>
      <w:r>
        <w:t>histoire de Tyler permettent de mieux comprendre le comportement criminel et la participation de la justice chez les jeunes Canadiens, ainsi que les répercussions économiques de la criminalité et des possibilités d</w:t>
      </w:r>
      <w:r w:rsidR="003B5177">
        <w:t>’</w:t>
      </w:r>
      <w:r>
        <w:t>économies offertes par les programmes de prévention du crime.</w:t>
      </w:r>
    </w:p>
    <w:p w14:paraId="0EB84C29" w14:textId="0B5E9C70" w:rsidR="00D52D26" w:rsidRPr="00D2687C" w:rsidRDefault="00DC4B04" w:rsidP="00B954EA">
      <w:pPr>
        <w:spacing w:line="312" w:lineRule="auto"/>
        <w:rPr>
          <w:lang w:val="en-US"/>
        </w:rPr>
      </w:pPr>
      <w:r w:rsidRPr="00D2687C">
        <w:rPr>
          <w:color w:val="000000" w:themeColor="text1"/>
          <w:lang w:val="en-US"/>
        </w:rPr>
        <w:t>A</w:t>
      </w:r>
      <w:r w:rsidR="00D2687C" w:rsidRPr="00D2687C">
        <w:rPr>
          <w:color w:val="000000" w:themeColor="text1"/>
          <w:lang w:val="en-US"/>
        </w:rPr>
        <w:t xml:space="preserve">lso available in English under the title : </w:t>
      </w:r>
      <w:hyperlink r:id="rId15" w:history="1">
        <w:r w:rsidR="00D2687C" w:rsidRPr="0099490E">
          <w:rPr>
            <w:rStyle w:val="Hyperlink"/>
            <w:lang w:val="en-US"/>
          </w:rPr>
          <w:t>Tyler’s Story : Methodological Companion</w:t>
        </w:r>
      </w:hyperlink>
    </w:p>
    <w:p w14:paraId="4F4E7797" w14:textId="2D3DB4EE" w:rsidR="00D52D26" w:rsidRPr="00DC4B04" w:rsidRDefault="00DC4B04" w:rsidP="00B954EA">
      <w:pPr>
        <w:spacing w:line="312" w:lineRule="auto"/>
      </w:pPr>
      <w:r>
        <w:t>Pour obtenir la permission de reproduire les documents de Sécurité publique Canada à des fins commerciales, ou pour obtenir de plus amples renseignements concernant les titulaires d</w:t>
      </w:r>
      <w:r w:rsidR="003B5177">
        <w:t>’</w:t>
      </w:r>
      <w:r>
        <w:t>un droit d</w:t>
      </w:r>
      <w:r w:rsidR="003B5177">
        <w:t>’</w:t>
      </w:r>
      <w:r>
        <w:t>auteur ou les restrictions connexes, veuillez communiquer avec :</w:t>
      </w:r>
    </w:p>
    <w:p w14:paraId="104ECCA0" w14:textId="77777777" w:rsidR="00D52D26" w:rsidRPr="00DC4B04" w:rsidRDefault="00DC4B04" w:rsidP="00B954EA">
      <w:pPr>
        <w:spacing w:after="0" w:line="312" w:lineRule="auto"/>
      </w:pPr>
      <w:r>
        <w:t>Sécurité publique Canada – Communications</w:t>
      </w:r>
    </w:p>
    <w:p w14:paraId="3A0CD7C3" w14:textId="77777777" w:rsidR="00B846B1" w:rsidRPr="00DC4B04" w:rsidRDefault="00DC4B04" w:rsidP="00B846B1">
      <w:pPr>
        <w:spacing w:after="0" w:line="312" w:lineRule="auto"/>
      </w:pPr>
      <w:r>
        <w:t>269, avenue Laurier Ouest</w:t>
      </w:r>
    </w:p>
    <w:p w14:paraId="19BE322D" w14:textId="77777777" w:rsidR="00B846B1" w:rsidRPr="00DC4B04" w:rsidRDefault="00DC4B04" w:rsidP="00B846B1">
      <w:pPr>
        <w:spacing w:line="312" w:lineRule="auto"/>
      </w:pPr>
      <w:r>
        <w:t>Ottawa (Ontario) Canada  K1A 0P8</w:t>
      </w:r>
    </w:p>
    <w:p w14:paraId="3097B620" w14:textId="77777777" w:rsidR="00C804A3" w:rsidRPr="00DC4B04" w:rsidRDefault="00DC4B04" w:rsidP="00B846B1">
      <w:pPr>
        <w:spacing w:after="0" w:line="312" w:lineRule="auto"/>
      </w:pPr>
      <w:r w:rsidRPr="00DC4B04">
        <w:fldChar w:fldCharType="begin"/>
      </w:r>
      <w:r w:rsidRPr="00DC4B04">
        <w:instrText xml:space="preserve"> HYPERLINK "Communications@ps-sp.gc.ca" </w:instrText>
      </w:r>
    </w:p>
    <w:p w14:paraId="4732B1EE" w14:textId="46BC58BA" w:rsidR="00C804A3" w:rsidRPr="00DC4B04" w:rsidRDefault="00DC4B04" w:rsidP="00B846B1">
      <w:pPr>
        <w:rPr>
          <w:rStyle w:val="Hyperlink"/>
        </w:rPr>
      </w:pPr>
      <w:r w:rsidRPr="00DC4B04">
        <w:fldChar w:fldCharType="separate"/>
      </w:r>
      <w:r>
        <w:rPr>
          <w:rStyle w:val="Hyperlink"/>
        </w:rPr>
        <w:t>Communications@ps-sp.gc.ca</w:t>
      </w:r>
    </w:p>
    <w:p w14:paraId="7EE0DC29" w14:textId="4273639C" w:rsidR="00D52D26" w:rsidRPr="00DC4B04" w:rsidRDefault="00DC4B04" w:rsidP="00B954EA">
      <w:pPr>
        <w:rPr>
          <w:rStyle w:val="Hyperlink"/>
        </w:rPr>
      </w:pPr>
      <w:r w:rsidRPr="00DC4B04">
        <w:fldChar w:fldCharType="end"/>
      </w:r>
      <w:r w:rsidRPr="00DC4B04">
        <w:fldChar w:fldCharType="begin"/>
      </w:r>
      <w:r>
        <w:instrText>HYPERLINK "https://www.securitepublique.gc.ca/index-fr.aspx"</w:instrText>
      </w:r>
      <w:r w:rsidRPr="00DC4B04">
        <w:fldChar w:fldCharType="separate"/>
      </w:r>
      <w:r>
        <w:rPr>
          <w:rStyle w:val="Hyperlink"/>
        </w:rPr>
        <w:t>www.securitepublique.gc.ca</w:t>
      </w:r>
    </w:p>
    <w:p w14:paraId="136B15E5" w14:textId="26D2F593" w:rsidR="00D52D26" w:rsidRPr="00DC4B04" w:rsidRDefault="00DC4B04" w:rsidP="00B954EA">
      <w:r w:rsidRPr="00DC4B04">
        <w:fldChar w:fldCharType="end"/>
      </w:r>
      <w:r>
        <w:t>© Sa Majesté le Roi du Chef du Canada, représenté par les ministres de la Sécurité publique et de la Protection civile, 202</w:t>
      </w:r>
      <w:r w:rsidR="00A46A4B">
        <w:t>6</w:t>
      </w:r>
      <w:r>
        <w:t>.</w:t>
      </w:r>
    </w:p>
    <w:p w14:paraId="0E33B58E" w14:textId="166C1912" w:rsidR="00B954EA" w:rsidRPr="00DC4B04" w:rsidRDefault="00DC4B04" w:rsidP="00B954EA">
      <w:pPr>
        <w:spacing w:after="0" w:line="312" w:lineRule="auto"/>
      </w:pPr>
      <w:bookmarkStart w:id="1" w:name="_Hlk153454840"/>
      <w:r w:rsidRPr="00A46A4B">
        <w:t xml:space="preserve">Date de publication : </w:t>
      </w:r>
      <w:r w:rsidR="00A46A4B" w:rsidRPr="00A46A4B">
        <w:t>01-2026</w:t>
      </w:r>
    </w:p>
    <w:p w14:paraId="3457434A" w14:textId="77777777" w:rsidR="00A46A4B" w:rsidRPr="00A46A4B" w:rsidRDefault="00DC4B04" w:rsidP="00A46A4B">
      <w:pPr>
        <w:spacing w:line="312" w:lineRule="auto"/>
        <w:rPr>
          <w:lang w:val="fr-FR"/>
        </w:rPr>
      </w:pPr>
      <w:bookmarkStart w:id="2" w:name="_Hlk153274897"/>
      <w:bookmarkEnd w:id="1"/>
      <w:r>
        <w:t xml:space="preserve">Numéro de catalogue : </w:t>
      </w:r>
      <w:r w:rsidR="00A46A4B" w:rsidRPr="00A46A4B">
        <w:rPr>
          <w:lang w:val="fr-FR"/>
        </w:rPr>
        <w:t>PS18-106/2-2026F-PDF</w:t>
      </w:r>
    </w:p>
    <w:p w14:paraId="41C07B00" w14:textId="416E407A" w:rsidR="006426BE" w:rsidRPr="00DC4B04" w:rsidRDefault="00DC4B04" w:rsidP="00B954EA">
      <w:pPr>
        <w:spacing w:after="160" w:line="312" w:lineRule="auto"/>
        <w:rPr>
          <w:highlight w:val="yellow"/>
        </w:rPr>
      </w:pPr>
      <w:r>
        <w:t>ISBN :</w:t>
      </w:r>
      <w:r w:rsidR="00A46A4B">
        <w:t xml:space="preserve"> </w:t>
      </w:r>
      <w:r w:rsidR="00A46A4B" w:rsidRPr="00A46A4B">
        <w:t>978-0-660-79500-3</w:t>
      </w:r>
      <w:r>
        <w:t xml:space="preserve"> </w:t>
      </w:r>
    </w:p>
    <w:bookmarkEnd w:id="0"/>
    <w:bookmarkEnd w:id="2"/>
    <w:p w14:paraId="0EB1218B" w14:textId="77777777" w:rsidR="00634D36" w:rsidRDefault="00634D36">
      <w:pPr>
        <w:spacing w:after="160" w:line="259" w:lineRule="auto"/>
        <w:rPr>
          <w:rFonts w:ascii="Aptos SemiBold" w:eastAsiaTheme="majorEastAsia" w:hAnsi="Aptos SemiBold" w:cstheme="majorBidi"/>
          <w:color w:val="3A5A88" w:themeColor="accent1"/>
          <w:sz w:val="40"/>
          <w:szCs w:val="26"/>
        </w:rPr>
        <w:sectPr w:rsidR="00634D36" w:rsidSect="008C3A80">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0" w:gutter="0"/>
          <w:cols w:space="720"/>
          <w:titlePg/>
          <w:docGrid w:linePitch="360"/>
        </w:sectPr>
      </w:pPr>
    </w:p>
    <w:p w14:paraId="266C5B7F" w14:textId="77777777" w:rsidR="00D73061" w:rsidRDefault="00DC4B04" w:rsidP="00E55F95">
      <w:pPr>
        <w:pStyle w:val="Heading2"/>
        <w:rPr>
          <w:noProof/>
        </w:rPr>
      </w:pPr>
      <w:bookmarkStart w:id="3" w:name="_Toc206140381"/>
      <w:r>
        <w:t>Table des matières</w:t>
      </w:r>
      <w:bookmarkEnd w:id="3"/>
      <w:r>
        <w:t xml:space="preserve"> </w:t>
      </w:r>
      <w:r w:rsidRPr="00DC4B04">
        <w:rPr>
          <w:rFonts w:eastAsiaTheme="minorHAnsi" w:cstheme="minorBidi"/>
          <w:sz w:val="24"/>
          <w:szCs w:val="22"/>
        </w:rPr>
        <w:fldChar w:fldCharType="begin"/>
      </w:r>
      <w:r w:rsidR="0035321F" w:rsidRPr="00DC4B04">
        <w:instrText xml:space="preserve"> TOC \u \t "Heading 2,1,Heading 3,1" </w:instrText>
      </w:r>
      <w:r w:rsidRPr="00DC4B04">
        <w:rPr>
          <w:rFonts w:eastAsiaTheme="minorHAnsi" w:cstheme="minorBidi"/>
          <w:sz w:val="24"/>
          <w:szCs w:val="22"/>
        </w:rPr>
        <w:fldChar w:fldCharType="separate"/>
      </w:r>
    </w:p>
    <w:p w14:paraId="3DF15534" w14:textId="1E94B7F4" w:rsidR="00D73061" w:rsidRPr="00D73061" w:rsidRDefault="00D73061">
      <w:pPr>
        <w:pStyle w:val="TOC1"/>
        <w:tabs>
          <w:tab w:val="right" w:leader="dot" w:pos="9350"/>
        </w:tabs>
        <w:rPr>
          <w:rFonts w:asciiTheme="minorHAnsi" w:eastAsiaTheme="minorEastAsia" w:hAnsiTheme="minorHAnsi"/>
          <w:noProof/>
          <w:kern w:val="2"/>
          <w:sz w:val="24"/>
          <w:szCs w:val="24"/>
          <w:lang w:eastAsia="en-CA"/>
          <w14:ligatures w14:val="standardContextual"/>
        </w:rPr>
      </w:pPr>
      <w:r w:rsidRPr="00072A78">
        <w:rPr>
          <w:b/>
          <w:bCs/>
          <w:noProof/>
        </w:rPr>
        <w:t>Acronymes</w:t>
      </w:r>
      <w:r>
        <w:rPr>
          <w:noProof/>
        </w:rPr>
        <w:tab/>
      </w:r>
      <w:r>
        <w:rPr>
          <w:noProof/>
        </w:rPr>
        <w:fldChar w:fldCharType="begin"/>
      </w:r>
      <w:r>
        <w:rPr>
          <w:noProof/>
        </w:rPr>
        <w:instrText xml:space="preserve"> PAGEREF _Toc206140382 \h </w:instrText>
      </w:r>
      <w:r>
        <w:rPr>
          <w:noProof/>
        </w:rPr>
      </w:r>
      <w:r>
        <w:rPr>
          <w:noProof/>
        </w:rPr>
        <w:fldChar w:fldCharType="separate"/>
      </w:r>
      <w:r w:rsidR="00072A78">
        <w:rPr>
          <w:noProof/>
        </w:rPr>
        <w:t>5</w:t>
      </w:r>
      <w:r>
        <w:rPr>
          <w:noProof/>
        </w:rPr>
        <w:fldChar w:fldCharType="end"/>
      </w:r>
    </w:p>
    <w:p w14:paraId="6E5E7F6F" w14:textId="25E7714D" w:rsidR="00D73061" w:rsidRPr="00D73061" w:rsidRDefault="00D73061">
      <w:pPr>
        <w:pStyle w:val="TOC1"/>
        <w:tabs>
          <w:tab w:val="right" w:leader="dot" w:pos="9350"/>
        </w:tabs>
        <w:rPr>
          <w:rFonts w:asciiTheme="minorHAnsi" w:eastAsiaTheme="minorEastAsia" w:hAnsiTheme="minorHAnsi"/>
          <w:noProof/>
          <w:kern w:val="2"/>
          <w:sz w:val="24"/>
          <w:szCs w:val="24"/>
          <w:lang w:eastAsia="en-CA"/>
          <w14:ligatures w14:val="standardContextual"/>
        </w:rPr>
      </w:pPr>
      <w:r w:rsidRPr="00072A78">
        <w:rPr>
          <w:b/>
          <w:bCs/>
          <w:noProof/>
        </w:rPr>
        <w:t>Introduction</w:t>
      </w:r>
      <w:r>
        <w:rPr>
          <w:noProof/>
        </w:rPr>
        <w:tab/>
      </w:r>
      <w:r>
        <w:rPr>
          <w:noProof/>
        </w:rPr>
        <w:fldChar w:fldCharType="begin"/>
      </w:r>
      <w:r>
        <w:rPr>
          <w:noProof/>
        </w:rPr>
        <w:instrText xml:space="preserve"> PAGEREF _Toc206140383 \h </w:instrText>
      </w:r>
      <w:r>
        <w:rPr>
          <w:noProof/>
        </w:rPr>
      </w:r>
      <w:r>
        <w:rPr>
          <w:noProof/>
        </w:rPr>
        <w:fldChar w:fldCharType="separate"/>
      </w:r>
      <w:r w:rsidR="00072A78">
        <w:rPr>
          <w:noProof/>
        </w:rPr>
        <w:t>6</w:t>
      </w:r>
      <w:r>
        <w:rPr>
          <w:noProof/>
        </w:rPr>
        <w:fldChar w:fldCharType="end"/>
      </w:r>
    </w:p>
    <w:p w14:paraId="3A4BB378" w14:textId="7F1E6CEA" w:rsidR="00D73061" w:rsidRPr="00D73061" w:rsidRDefault="00D73061">
      <w:pPr>
        <w:pStyle w:val="TOC1"/>
        <w:tabs>
          <w:tab w:val="right" w:leader="dot" w:pos="9350"/>
        </w:tabs>
        <w:rPr>
          <w:rFonts w:asciiTheme="minorHAnsi" w:eastAsiaTheme="minorEastAsia" w:hAnsiTheme="minorHAnsi"/>
          <w:noProof/>
          <w:kern w:val="2"/>
          <w:sz w:val="24"/>
          <w:szCs w:val="24"/>
          <w:lang w:eastAsia="en-CA"/>
          <w14:ligatures w14:val="standardContextual"/>
        </w:rPr>
      </w:pPr>
      <w:r w:rsidRPr="00072A78">
        <w:rPr>
          <w:b/>
          <w:bCs/>
          <w:noProof/>
        </w:rPr>
        <w:t>Méthodologie</w:t>
      </w:r>
      <w:r>
        <w:rPr>
          <w:noProof/>
        </w:rPr>
        <w:tab/>
      </w:r>
      <w:r>
        <w:rPr>
          <w:noProof/>
        </w:rPr>
        <w:fldChar w:fldCharType="begin"/>
      </w:r>
      <w:r>
        <w:rPr>
          <w:noProof/>
        </w:rPr>
        <w:instrText xml:space="preserve"> PAGEREF _Toc206140384 \h </w:instrText>
      </w:r>
      <w:r>
        <w:rPr>
          <w:noProof/>
        </w:rPr>
      </w:r>
      <w:r>
        <w:rPr>
          <w:noProof/>
        </w:rPr>
        <w:fldChar w:fldCharType="separate"/>
      </w:r>
      <w:r w:rsidR="00072A78">
        <w:rPr>
          <w:noProof/>
        </w:rPr>
        <w:t>7</w:t>
      </w:r>
      <w:r>
        <w:rPr>
          <w:noProof/>
        </w:rPr>
        <w:fldChar w:fldCharType="end"/>
      </w:r>
    </w:p>
    <w:p w14:paraId="0530DD09" w14:textId="78732DFB" w:rsidR="00D73061" w:rsidRPr="00D73061" w:rsidRDefault="00D73061">
      <w:pPr>
        <w:pStyle w:val="TOC1"/>
        <w:tabs>
          <w:tab w:val="right" w:leader="dot" w:pos="9350"/>
        </w:tabs>
        <w:rPr>
          <w:rFonts w:asciiTheme="minorHAnsi" w:eastAsiaTheme="minorEastAsia" w:hAnsiTheme="minorHAnsi"/>
          <w:noProof/>
          <w:kern w:val="2"/>
          <w:sz w:val="24"/>
          <w:szCs w:val="24"/>
          <w:lang w:eastAsia="en-CA"/>
          <w14:ligatures w14:val="standardContextual"/>
        </w:rPr>
      </w:pPr>
      <w:r>
        <w:rPr>
          <w:noProof/>
        </w:rPr>
        <w:t>Facteurs de risque et prévention du crime</w:t>
      </w:r>
      <w:r>
        <w:rPr>
          <w:noProof/>
        </w:rPr>
        <w:tab/>
      </w:r>
      <w:r>
        <w:rPr>
          <w:noProof/>
        </w:rPr>
        <w:fldChar w:fldCharType="begin"/>
      </w:r>
      <w:r>
        <w:rPr>
          <w:noProof/>
        </w:rPr>
        <w:instrText xml:space="preserve"> PAGEREF _Toc206140385 \h </w:instrText>
      </w:r>
      <w:r>
        <w:rPr>
          <w:noProof/>
        </w:rPr>
      </w:r>
      <w:r>
        <w:rPr>
          <w:noProof/>
        </w:rPr>
        <w:fldChar w:fldCharType="separate"/>
      </w:r>
      <w:r w:rsidR="00072A78">
        <w:rPr>
          <w:noProof/>
        </w:rPr>
        <w:t>7</w:t>
      </w:r>
      <w:r>
        <w:rPr>
          <w:noProof/>
        </w:rPr>
        <w:fldChar w:fldCharType="end"/>
      </w:r>
    </w:p>
    <w:p w14:paraId="3E9C5EF6" w14:textId="2E291DA4" w:rsidR="00D73061" w:rsidRPr="00D73061" w:rsidRDefault="00D73061">
      <w:pPr>
        <w:pStyle w:val="TOC1"/>
        <w:tabs>
          <w:tab w:val="right" w:leader="dot" w:pos="9350"/>
        </w:tabs>
        <w:rPr>
          <w:rFonts w:asciiTheme="minorHAnsi" w:eastAsiaTheme="minorEastAsia" w:hAnsiTheme="minorHAnsi"/>
          <w:noProof/>
          <w:kern w:val="2"/>
          <w:sz w:val="24"/>
          <w:szCs w:val="24"/>
          <w:lang w:eastAsia="en-CA"/>
          <w14:ligatures w14:val="standardContextual"/>
        </w:rPr>
      </w:pPr>
      <w:r>
        <w:rPr>
          <w:noProof/>
        </w:rPr>
        <w:t>Calcul des coûts</w:t>
      </w:r>
      <w:r>
        <w:rPr>
          <w:noProof/>
        </w:rPr>
        <w:tab/>
      </w:r>
      <w:r>
        <w:rPr>
          <w:noProof/>
        </w:rPr>
        <w:fldChar w:fldCharType="begin"/>
      </w:r>
      <w:r>
        <w:rPr>
          <w:noProof/>
        </w:rPr>
        <w:instrText xml:space="preserve"> PAGEREF _Toc206140386 \h </w:instrText>
      </w:r>
      <w:r>
        <w:rPr>
          <w:noProof/>
        </w:rPr>
      </w:r>
      <w:r>
        <w:rPr>
          <w:noProof/>
        </w:rPr>
        <w:fldChar w:fldCharType="separate"/>
      </w:r>
      <w:r w:rsidR="00072A78">
        <w:rPr>
          <w:noProof/>
        </w:rPr>
        <w:t>15</w:t>
      </w:r>
      <w:r>
        <w:rPr>
          <w:noProof/>
        </w:rPr>
        <w:fldChar w:fldCharType="end"/>
      </w:r>
    </w:p>
    <w:p w14:paraId="0FF3E228" w14:textId="3F32D3F6" w:rsidR="00D73061" w:rsidRPr="00D73061" w:rsidRDefault="00D73061">
      <w:pPr>
        <w:pStyle w:val="TOC1"/>
        <w:tabs>
          <w:tab w:val="right" w:leader="dot" w:pos="9350"/>
        </w:tabs>
        <w:rPr>
          <w:rFonts w:asciiTheme="minorHAnsi" w:eastAsiaTheme="minorEastAsia" w:hAnsiTheme="minorHAnsi"/>
          <w:noProof/>
          <w:kern w:val="2"/>
          <w:sz w:val="24"/>
          <w:szCs w:val="24"/>
          <w:lang w:eastAsia="en-CA"/>
          <w14:ligatures w14:val="standardContextual"/>
        </w:rPr>
      </w:pPr>
      <w:r>
        <w:rPr>
          <w:noProof/>
        </w:rPr>
        <w:t>Conclusion</w:t>
      </w:r>
      <w:r>
        <w:rPr>
          <w:noProof/>
        </w:rPr>
        <w:tab/>
      </w:r>
      <w:r>
        <w:rPr>
          <w:noProof/>
        </w:rPr>
        <w:fldChar w:fldCharType="begin"/>
      </w:r>
      <w:r>
        <w:rPr>
          <w:noProof/>
        </w:rPr>
        <w:instrText xml:space="preserve"> PAGEREF _Toc206140387 \h </w:instrText>
      </w:r>
      <w:r>
        <w:rPr>
          <w:noProof/>
        </w:rPr>
      </w:r>
      <w:r>
        <w:rPr>
          <w:noProof/>
        </w:rPr>
        <w:fldChar w:fldCharType="separate"/>
      </w:r>
      <w:r w:rsidR="00072A78">
        <w:rPr>
          <w:noProof/>
        </w:rPr>
        <w:t>23</w:t>
      </w:r>
      <w:r>
        <w:rPr>
          <w:noProof/>
        </w:rPr>
        <w:fldChar w:fldCharType="end"/>
      </w:r>
    </w:p>
    <w:p w14:paraId="1A37C365" w14:textId="6DA3F871" w:rsidR="00D73061" w:rsidRPr="00D73061" w:rsidRDefault="00D73061">
      <w:pPr>
        <w:pStyle w:val="TOC1"/>
        <w:tabs>
          <w:tab w:val="right" w:leader="dot" w:pos="9350"/>
        </w:tabs>
        <w:rPr>
          <w:rFonts w:asciiTheme="minorHAnsi" w:eastAsiaTheme="minorEastAsia" w:hAnsiTheme="minorHAnsi"/>
          <w:noProof/>
          <w:kern w:val="2"/>
          <w:sz w:val="24"/>
          <w:szCs w:val="24"/>
          <w:lang w:eastAsia="en-CA"/>
          <w14:ligatures w14:val="standardContextual"/>
        </w:rPr>
      </w:pPr>
      <w:r>
        <w:rPr>
          <w:noProof/>
        </w:rPr>
        <w:t>Annexe A : Estimations des coûts</w:t>
      </w:r>
      <w:r>
        <w:rPr>
          <w:noProof/>
        </w:rPr>
        <w:tab/>
      </w:r>
      <w:r>
        <w:rPr>
          <w:noProof/>
        </w:rPr>
        <w:fldChar w:fldCharType="begin"/>
      </w:r>
      <w:r>
        <w:rPr>
          <w:noProof/>
        </w:rPr>
        <w:instrText xml:space="preserve"> PAGEREF _Toc206140388 \h </w:instrText>
      </w:r>
      <w:r>
        <w:rPr>
          <w:noProof/>
        </w:rPr>
      </w:r>
      <w:r>
        <w:rPr>
          <w:noProof/>
        </w:rPr>
        <w:fldChar w:fldCharType="separate"/>
      </w:r>
      <w:r w:rsidR="00072A78">
        <w:rPr>
          <w:noProof/>
        </w:rPr>
        <w:t>24</w:t>
      </w:r>
      <w:r>
        <w:rPr>
          <w:noProof/>
        </w:rPr>
        <w:fldChar w:fldCharType="end"/>
      </w:r>
    </w:p>
    <w:p w14:paraId="684FA945" w14:textId="1193E262" w:rsidR="00D73061" w:rsidRPr="00D73061" w:rsidRDefault="00D73061">
      <w:pPr>
        <w:pStyle w:val="TOC1"/>
        <w:tabs>
          <w:tab w:val="right" w:leader="dot" w:pos="9350"/>
        </w:tabs>
        <w:rPr>
          <w:rFonts w:asciiTheme="minorHAnsi" w:eastAsiaTheme="minorEastAsia" w:hAnsiTheme="minorHAnsi"/>
          <w:noProof/>
          <w:kern w:val="2"/>
          <w:sz w:val="24"/>
          <w:szCs w:val="24"/>
          <w:lang w:eastAsia="en-CA"/>
          <w14:ligatures w14:val="standardContextual"/>
        </w:rPr>
      </w:pPr>
      <w:r>
        <w:rPr>
          <w:noProof/>
        </w:rPr>
        <w:t>Annexe B : Éléments de coûts</w:t>
      </w:r>
      <w:r>
        <w:rPr>
          <w:noProof/>
        </w:rPr>
        <w:tab/>
      </w:r>
      <w:r>
        <w:rPr>
          <w:noProof/>
        </w:rPr>
        <w:fldChar w:fldCharType="begin"/>
      </w:r>
      <w:r>
        <w:rPr>
          <w:noProof/>
        </w:rPr>
        <w:instrText xml:space="preserve"> PAGEREF _Toc206140389 \h </w:instrText>
      </w:r>
      <w:r>
        <w:rPr>
          <w:noProof/>
        </w:rPr>
      </w:r>
      <w:r>
        <w:rPr>
          <w:noProof/>
        </w:rPr>
        <w:fldChar w:fldCharType="separate"/>
      </w:r>
      <w:r w:rsidR="00072A78">
        <w:rPr>
          <w:noProof/>
        </w:rPr>
        <w:t>28</w:t>
      </w:r>
      <w:r>
        <w:rPr>
          <w:noProof/>
        </w:rPr>
        <w:fldChar w:fldCharType="end"/>
      </w:r>
    </w:p>
    <w:p w14:paraId="531DA304" w14:textId="1CB12531" w:rsidR="00D73061" w:rsidRPr="00D2687C" w:rsidRDefault="00D73061">
      <w:pPr>
        <w:pStyle w:val="TOC1"/>
        <w:tabs>
          <w:tab w:val="right" w:leader="dot" w:pos="9350"/>
        </w:tabs>
        <w:rPr>
          <w:rFonts w:asciiTheme="minorHAnsi" w:eastAsiaTheme="minorEastAsia" w:hAnsiTheme="minorHAnsi"/>
          <w:noProof/>
          <w:kern w:val="2"/>
          <w:sz w:val="24"/>
          <w:szCs w:val="24"/>
          <w:lang w:val="fr-FR" w:eastAsia="en-CA"/>
          <w14:ligatures w14:val="standardContextual"/>
        </w:rPr>
      </w:pPr>
      <w:r w:rsidRPr="00072A78">
        <w:rPr>
          <w:b/>
          <w:bCs/>
          <w:noProof/>
        </w:rPr>
        <w:t>Références</w:t>
      </w:r>
      <w:r>
        <w:rPr>
          <w:noProof/>
        </w:rPr>
        <w:tab/>
      </w:r>
      <w:r>
        <w:rPr>
          <w:noProof/>
        </w:rPr>
        <w:fldChar w:fldCharType="begin"/>
      </w:r>
      <w:r>
        <w:rPr>
          <w:noProof/>
        </w:rPr>
        <w:instrText xml:space="preserve"> PAGEREF _Toc206140390 \h </w:instrText>
      </w:r>
      <w:r>
        <w:rPr>
          <w:noProof/>
        </w:rPr>
      </w:r>
      <w:r>
        <w:rPr>
          <w:noProof/>
        </w:rPr>
        <w:fldChar w:fldCharType="separate"/>
      </w:r>
      <w:r w:rsidR="00072A78">
        <w:rPr>
          <w:noProof/>
        </w:rPr>
        <w:t>33</w:t>
      </w:r>
      <w:r>
        <w:rPr>
          <w:noProof/>
        </w:rPr>
        <w:fldChar w:fldCharType="end"/>
      </w:r>
    </w:p>
    <w:p w14:paraId="3303C052" w14:textId="5756EB38" w:rsidR="00D73061" w:rsidRPr="00D2687C" w:rsidRDefault="00D73061">
      <w:pPr>
        <w:pStyle w:val="TOC1"/>
        <w:tabs>
          <w:tab w:val="right" w:leader="dot" w:pos="9350"/>
        </w:tabs>
        <w:rPr>
          <w:rFonts w:asciiTheme="minorHAnsi" w:eastAsiaTheme="minorEastAsia" w:hAnsiTheme="minorHAnsi"/>
          <w:noProof/>
          <w:kern w:val="2"/>
          <w:sz w:val="24"/>
          <w:szCs w:val="24"/>
          <w:lang w:val="fr-FR" w:eastAsia="en-CA"/>
          <w14:ligatures w14:val="standardContextual"/>
        </w:rPr>
      </w:pPr>
      <w:r w:rsidRPr="00072A78">
        <w:rPr>
          <w:b/>
          <w:bCs/>
          <w:noProof/>
          <w:lang w:val="fr-FR"/>
        </w:rPr>
        <w:t>Notes de fin</w:t>
      </w:r>
      <w:r>
        <w:rPr>
          <w:noProof/>
        </w:rPr>
        <w:tab/>
      </w:r>
      <w:r>
        <w:rPr>
          <w:noProof/>
        </w:rPr>
        <w:fldChar w:fldCharType="begin"/>
      </w:r>
      <w:r>
        <w:rPr>
          <w:noProof/>
        </w:rPr>
        <w:instrText xml:space="preserve"> PAGEREF _Toc206140391 \h </w:instrText>
      </w:r>
      <w:r>
        <w:rPr>
          <w:noProof/>
        </w:rPr>
      </w:r>
      <w:r>
        <w:rPr>
          <w:noProof/>
        </w:rPr>
        <w:fldChar w:fldCharType="separate"/>
      </w:r>
      <w:r w:rsidR="00072A78">
        <w:rPr>
          <w:noProof/>
        </w:rPr>
        <w:t>36</w:t>
      </w:r>
      <w:r>
        <w:rPr>
          <w:noProof/>
        </w:rPr>
        <w:fldChar w:fldCharType="end"/>
      </w:r>
    </w:p>
    <w:p w14:paraId="61ACC351" w14:textId="77777777" w:rsidR="009E48CD" w:rsidRPr="00DC4B04" w:rsidRDefault="00DC4B04" w:rsidP="009E48CD">
      <w:r w:rsidRPr="00DC4B04">
        <w:fldChar w:fldCharType="end"/>
      </w:r>
    </w:p>
    <w:p w14:paraId="3BCDF370" w14:textId="77777777" w:rsidR="009E48CD" w:rsidRPr="00DC4B04" w:rsidRDefault="009E48CD" w:rsidP="009E48CD"/>
    <w:p w14:paraId="6700E794" w14:textId="77777777" w:rsidR="009E48CD" w:rsidRPr="00DC4B04" w:rsidRDefault="00DC4B04">
      <w:pPr>
        <w:spacing w:after="160" w:line="259" w:lineRule="auto"/>
        <w:rPr>
          <w:rFonts w:ascii="Aptos SemiBold" w:eastAsiaTheme="majorEastAsia" w:hAnsi="Aptos SemiBold" w:cstheme="majorBidi"/>
          <w:color w:val="3A5A88" w:themeColor="accent1"/>
          <w:sz w:val="40"/>
          <w:szCs w:val="26"/>
        </w:rPr>
      </w:pPr>
      <w:r>
        <w:br w:type="page"/>
      </w:r>
    </w:p>
    <w:p w14:paraId="28C0F514" w14:textId="77777777" w:rsidR="0034275C" w:rsidRPr="00DC4B04" w:rsidRDefault="00DC4B04" w:rsidP="002951CF">
      <w:pPr>
        <w:pStyle w:val="Heading2"/>
      </w:pPr>
      <w:bookmarkStart w:id="4" w:name="_Toc206140382"/>
      <w:r>
        <w:t>Acronymes</w:t>
      </w:r>
      <w:bookmarkEnd w:id="4"/>
    </w:p>
    <w:p w14:paraId="0C3F62AA" w14:textId="77777777" w:rsidR="00D73061" w:rsidRPr="00DC4B04" w:rsidRDefault="00D73061" w:rsidP="0034275C">
      <w:pPr>
        <w:rPr>
          <w:rFonts w:cs="Arial"/>
        </w:rPr>
      </w:pPr>
      <w:r>
        <w:rPr>
          <w:b/>
          <w:bCs/>
        </w:rPr>
        <w:t>GPCSL</w:t>
      </w:r>
      <w:r>
        <w:t> : Théorie basée sur la personnalité en général et sur les processus cognitifs de l’apprentissage social</w:t>
      </w:r>
    </w:p>
    <w:p w14:paraId="76B8BCBE" w14:textId="77777777" w:rsidR="00D73061" w:rsidRPr="00DC4B04" w:rsidRDefault="00D73061" w:rsidP="0034275C">
      <w:pPr>
        <w:rPr>
          <w:rFonts w:cs="Arial"/>
        </w:rPr>
      </w:pPr>
      <w:r>
        <w:rPr>
          <w:b/>
          <w:bCs/>
        </w:rPr>
        <w:t>PACI</w:t>
      </w:r>
      <w:r>
        <w:t> : Théorie du potentiel antisocial cognitif intégré</w:t>
      </w:r>
    </w:p>
    <w:p w14:paraId="282DAC93" w14:textId="77777777" w:rsidR="00D73061" w:rsidRPr="00DC4B04" w:rsidRDefault="00D73061" w:rsidP="0034275C">
      <w:pPr>
        <w:rPr>
          <w:rFonts w:cs="Arial"/>
        </w:rPr>
      </w:pPr>
      <w:r>
        <w:rPr>
          <w:b/>
          <w:bCs/>
        </w:rPr>
        <w:t>RNPC</w:t>
      </w:r>
      <w:r>
        <w:t> : Répertoire national en prévention du crime</w:t>
      </w:r>
    </w:p>
    <w:p w14:paraId="7B425E70" w14:textId="77777777" w:rsidR="00D73061" w:rsidRPr="00DC4B04" w:rsidRDefault="00D73061" w:rsidP="0034275C">
      <w:pPr>
        <w:rPr>
          <w:rFonts w:cs="Arial"/>
        </w:rPr>
      </w:pPr>
      <w:r>
        <w:rPr>
          <w:b/>
          <w:bCs/>
        </w:rPr>
        <w:t>RPC</w:t>
      </w:r>
      <w:r>
        <w:t> : Répertoire en prévention du crime</w:t>
      </w:r>
    </w:p>
    <w:p w14:paraId="3C2DE320" w14:textId="77777777" w:rsidR="00D73061" w:rsidRPr="00DC4B04" w:rsidRDefault="00D73061" w:rsidP="0034275C">
      <w:pPr>
        <w:rPr>
          <w:rFonts w:cs="Arial"/>
        </w:rPr>
      </w:pPr>
      <w:r>
        <w:rPr>
          <w:b/>
          <w:bCs/>
        </w:rPr>
        <w:t>SGISP</w:t>
      </w:r>
      <w:r>
        <w:t> : Système de gestion de l’information de Sécurité publique</w:t>
      </w:r>
    </w:p>
    <w:p w14:paraId="476F26F4" w14:textId="77777777" w:rsidR="00D73061" w:rsidRPr="00DC4B04" w:rsidRDefault="00D73061" w:rsidP="0034275C">
      <w:pPr>
        <w:rPr>
          <w:rFonts w:cs="Arial"/>
        </w:rPr>
      </w:pPr>
      <w:r>
        <w:rPr>
          <w:b/>
          <w:bCs/>
        </w:rPr>
        <w:t>SNAP</w:t>
      </w:r>
      <w:r>
        <w:t xml:space="preserve">® : Stop, n’agis pas, analyse et planifie </w:t>
      </w:r>
    </w:p>
    <w:p w14:paraId="0E3640CD" w14:textId="77777777" w:rsidR="00D73061" w:rsidRPr="00DC4B04" w:rsidRDefault="00D73061" w:rsidP="0034275C">
      <w:r>
        <w:rPr>
          <w:b/>
          <w:bCs/>
        </w:rPr>
        <w:t>TDAH</w:t>
      </w:r>
      <w:r>
        <w:t> : Trouble déficitaire de l’attention avec hyperactivité</w:t>
      </w:r>
    </w:p>
    <w:p w14:paraId="5260AA00" w14:textId="77777777" w:rsidR="00D73061" w:rsidRPr="00DC4B04" w:rsidRDefault="00D73061" w:rsidP="0034275C">
      <w:pPr>
        <w:rPr>
          <w:rFonts w:cs="Arial"/>
        </w:rPr>
      </w:pPr>
      <w:r>
        <w:rPr>
          <w:b/>
          <w:bCs/>
        </w:rPr>
        <w:t>TMS</w:t>
      </w:r>
      <w:r>
        <w:t> : Thérapie multisystémique</w:t>
      </w:r>
    </w:p>
    <w:p w14:paraId="61669E4F" w14:textId="77777777" w:rsidR="00D73061" w:rsidRPr="00DC4B04" w:rsidRDefault="00D73061" w:rsidP="0034275C">
      <w:pPr>
        <w:rPr>
          <w:rFonts w:cs="Arial"/>
        </w:rPr>
      </w:pPr>
      <w:r>
        <w:rPr>
          <w:b/>
          <w:bCs/>
        </w:rPr>
        <w:t>YIP</w:t>
      </w:r>
      <w:r>
        <w:t> : Youth Inclusion Program</w:t>
      </w:r>
    </w:p>
    <w:p w14:paraId="20B6669E" w14:textId="77777777" w:rsidR="00EA4404" w:rsidRPr="00DC4B04" w:rsidRDefault="00EA4404" w:rsidP="0034275C"/>
    <w:p w14:paraId="108B703A" w14:textId="77777777" w:rsidR="0034275C" w:rsidRPr="00DC4B04" w:rsidRDefault="00DC4B04">
      <w:pPr>
        <w:spacing w:after="160" w:line="259" w:lineRule="auto"/>
        <w:rPr>
          <w:rFonts w:ascii="Aptos SemiBold" w:eastAsiaTheme="majorEastAsia" w:hAnsi="Aptos SemiBold" w:cstheme="majorBidi"/>
          <w:color w:val="3A5A88" w:themeColor="accent1"/>
          <w:sz w:val="40"/>
          <w:szCs w:val="26"/>
        </w:rPr>
      </w:pPr>
      <w:r>
        <w:br w:type="page"/>
      </w:r>
    </w:p>
    <w:p w14:paraId="505D16B8" w14:textId="77777777" w:rsidR="00325B88" w:rsidRPr="00DC4B04" w:rsidRDefault="00DC4B04" w:rsidP="002951CF">
      <w:pPr>
        <w:pStyle w:val="Heading2"/>
      </w:pPr>
      <w:bookmarkStart w:id="5" w:name="_Toc206140383"/>
      <w:r>
        <w:t>Introduction</w:t>
      </w:r>
      <w:bookmarkEnd w:id="5"/>
    </w:p>
    <w:p w14:paraId="1E3D6CC8" w14:textId="2C49DF3E" w:rsidR="00CD5DC0" w:rsidRPr="00DC4B04" w:rsidRDefault="00DC4B04" w:rsidP="00CD5DC0">
      <w:r>
        <w:t>Ce complément méthodologique est conçu pour fournir un contexte et des renseignements supplémentaires sur les cadres directeurs, les hypothèses clés et les calculs effectués dans le rapport sur l</w:t>
      </w:r>
      <w:r w:rsidR="003B5177">
        <w:t>’</w:t>
      </w:r>
      <w:r>
        <w:t>histoire de Tyler de 202</w:t>
      </w:r>
      <w:r w:rsidR="00DA4F1A">
        <w:t>6</w:t>
      </w:r>
      <w:r>
        <w:t xml:space="preserve">. </w:t>
      </w:r>
    </w:p>
    <w:p w14:paraId="358309A0" w14:textId="0AFEC4A4" w:rsidR="00CD5DC0" w:rsidRPr="00DC4B04" w:rsidRDefault="00DC4B04" w:rsidP="00CD5DC0">
      <w:r>
        <w:t>Le rapport sur l</w:t>
      </w:r>
      <w:r w:rsidR="003B5177">
        <w:t>’</w:t>
      </w:r>
      <w:r>
        <w:t>histoire de Tyler illustre comment un ensemble écrasant de facteurs de risque, y compris des expériences précoces, peut faire en sorte qu</w:t>
      </w:r>
      <w:r w:rsidR="003B5177">
        <w:t>’</w:t>
      </w:r>
      <w:r>
        <w:t>un jeune ait continuellement des démêlés avec la justice</w:t>
      </w:r>
      <w:r w:rsidRPr="00DC4B04">
        <w:rPr>
          <w:rFonts w:cs="Arial"/>
          <w:vertAlign w:val="superscript"/>
          <w:lang w:val="en-CA" w:eastAsia="en-CA"/>
        </w:rPr>
        <w:footnoteReference w:id="2"/>
      </w:r>
      <w:r w:rsidR="00A363BF">
        <w:t xml:space="preserve">. </w:t>
      </w:r>
      <w:r>
        <w:t>Il montre comment des jeunes comme Tyler pourraient être détournés de comportements criminels</w:t>
      </w:r>
      <w:r w:rsidR="00900E14" w:rsidRPr="00DC4B04">
        <w:rPr>
          <w:rFonts w:cs="Arial"/>
          <w:vertAlign w:val="superscript"/>
          <w:lang w:val="en-CA" w:eastAsia="en-CA"/>
        </w:rPr>
        <w:footnoteReference w:id="3"/>
      </w:r>
      <w:r w:rsidR="00900E14">
        <w:t xml:space="preserve"> </w:t>
      </w:r>
      <w:r>
        <w:t>continus grâce à des programmes qui réduisent ou atténuent les facteurs de risque. Il illustre également les économies possibles associées à l</w:t>
      </w:r>
      <w:r w:rsidR="003B5177">
        <w:t>’</w:t>
      </w:r>
      <w:r>
        <w:t>utilisation de programmes efficaces de prévention du crime.</w:t>
      </w:r>
    </w:p>
    <w:p w14:paraId="7F151836" w14:textId="7D08AF8D" w:rsidR="00D660D6" w:rsidRPr="00DC4B04" w:rsidRDefault="00DC4B04" w:rsidP="00CD5DC0">
      <w:pPr>
        <w:rPr>
          <w:rFonts w:cs="Arial"/>
        </w:rPr>
      </w:pPr>
      <w:r>
        <w:t>Ce compagnon méthodologique commence par décrire le rôle des facteurs de risque dans l</w:t>
      </w:r>
      <w:r w:rsidR="003B5177">
        <w:t>’</w:t>
      </w:r>
      <w:r>
        <w:t>histoire de Tyler; plus précisément, comment la compréhension de ces facteurs contribue à une meilleure compréhension du comportement criminel et des interventions de prévention du crime qui ont lieu pendant l</w:t>
      </w:r>
      <w:r w:rsidR="003B5177">
        <w:t>’</w:t>
      </w:r>
      <w:r>
        <w:t>histoire. Il explore les cadres qui soutiennent la détermination des facteurs de risque dans l</w:t>
      </w:r>
      <w:r w:rsidR="003B5177">
        <w:t>’</w:t>
      </w:r>
      <w:r>
        <w:t xml:space="preserve">histoire de Tyler. On détaille également dans le complément le calcul des coûts, y compris la justification des coûts inclus et exclus, les calculs et les principales hypothèses formulées, ainsi que les paramètres de recherche. Il se termine par des renseignements sur les coûts des trois programmes de prévention du crime profilés, des renseignements sur les coûts et les avantages, et les limites des données. </w:t>
      </w:r>
    </w:p>
    <w:p w14:paraId="674ECEB2" w14:textId="77777777" w:rsidR="00CD5DC0" w:rsidRPr="00DC4B04" w:rsidRDefault="00DC4B04" w:rsidP="00CD5DC0">
      <w:pPr>
        <w:pStyle w:val="Heading2"/>
      </w:pPr>
      <w:bookmarkStart w:id="6" w:name="_Toc206140384"/>
      <w:r>
        <w:t>Méthodologie</w:t>
      </w:r>
      <w:bookmarkEnd w:id="6"/>
    </w:p>
    <w:p w14:paraId="555C5EE6" w14:textId="513CC3CF" w:rsidR="00CD5DC0" w:rsidRPr="00DC4B04" w:rsidRDefault="00DC4B04" w:rsidP="00CD5DC0">
      <w:pPr>
        <w:rPr>
          <w:rFonts w:cs="Arial"/>
        </w:rPr>
      </w:pPr>
      <w:r>
        <w:t>Le rapport sur l</w:t>
      </w:r>
      <w:r w:rsidR="003B5177">
        <w:t>’</w:t>
      </w:r>
      <w:r>
        <w:t>histoire de Tyler est une version mise à jour d</w:t>
      </w:r>
      <w:r w:rsidR="003B5177">
        <w:t>’</w:t>
      </w:r>
      <w:r>
        <w:t xml:space="preserve">une publication de 2016 de Sécurité publique Canada intitulée </w:t>
      </w:r>
      <w:hyperlink r:id="rId22" w:history="1">
        <w:r>
          <w:rPr>
            <w:rStyle w:val="Hyperlink"/>
            <w:i/>
            <w:iCs/>
          </w:rPr>
          <w:t>La vie difficile de Tyler</w:t>
        </w:r>
      </w:hyperlink>
      <w:r>
        <w:t>. Les mises à jour étaient nécessaires pour refléter l</w:t>
      </w:r>
      <w:r w:rsidR="003B5177">
        <w:t>’</w:t>
      </w:r>
      <w:r>
        <w:t>évolution du contexte canadien de la criminalité et de la justice. C</w:t>
      </w:r>
      <w:r w:rsidR="003B5177">
        <w:t>’</w:t>
      </w:r>
      <w:r>
        <w:t>était également l</w:t>
      </w:r>
      <w:r w:rsidR="003B5177">
        <w:t>’</w:t>
      </w:r>
      <w:r>
        <w:t>occasion d</w:t>
      </w:r>
      <w:r w:rsidR="003B5177">
        <w:t>’</w:t>
      </w:r>
      <w:r>
        <w:t>intégrer de nouvelles données et de nouvelles connaissances observées depuis la publication initiale ainsi que des analyses coûts-avantages pour les interventions de prévention du crime. Grâce à ces mises à jour, l</w:t>
      </w:r>
      <w:r w:rsidR="003B5177">
        <w:t>’</w:t>
      </w:r>
      <w:r>
        <w:t>histoire de Tyler donne un aperçu convaincant et pertinent du paysage actuel de la criminalité chez les jeunes au Canada, des facteurs qui y mènent et des programmes qui peuvent la prévenir.</w:t>
      </w:r>
    </w:p>
    <w:p w14:paraId="53B18E65" w14:textId="77777777" w:rsidR="00CD5DC0" w:rsidRPr="00DC4B04" w:rsidRDefault="00DC4B04" w:rsidP="00CD5DC0">
      <w:pPr>
        <w:pStyle w:val="Heading3"/>
      </w:pPr>
      <w:bookmarkStart w:id="7" w:name="_Toc206140385"/>
      <w:r>
        <w:t>Facteurs de risque et prévention du crime</w:t>
      </w:r>
      <w:bookmarkEnd w:id="7"/>
    </w:p>
    <w:p w14:paraId="5DB0A7A9" w14:textId="36355A19" w:rsidR="00CD5DC0" w:rsidRDefault="00DC4B04" w:rsidP="00CD5DC0">
      <w:r>
        <w:t>Aucun facteur n</w:t>
      </w:r>
      <w:r w:rsidR="003B5177">
        <w:t>’</w:t>
      </w:r>
      <w:r>
        <w:t>explique à lui seul pourquoi certains jeunes ont des démêlés avec la justice. Il est important de comprendre l</w:t>
      </w:r>
      <w:r w:rsidR="003B5177">
        <w:t>’</w:t>
      </w:r>
      <w:r>
        <w:t>éventail des facteurs qui exposent les jeunes à un risque de comportement criminel pour l</w:t>
      </w:r>
      <w:r w:rsidR="003B5177">
        <w:t>’</w:t>
      </w:r>
      <w:r>
        <w:t>élaboration de stratégies globales et efficaces pour réduire la criminalité, améliorer la sécurité publique et améliorer les résultats des personnes à risque d</w:t>
      </w:r>
      <w:r w:rsidR="003B5177">
        <w:t>’</w:t>
      </w:r>
      <w:r>
        <w:t>avoir des démêlés avec la justice. Le but de l</w:t>
      </w:r>
      <w:r w:rsidR="003B5177">
        <w:t>’</w:t>
      </w:r>
      <w:r>
        <w:t>histoire de Tyler est d</w:t>
      </w:r>
      <w:r w:rsidR="003B5177">
        <w:t>’</w:t>
      </w:r>
      <w:r>
        <w:t>explorer les facteurs de risque complexes d</w:t>
      </w:r>
      <w:r w:rsidR="003B5177">
        <w:t>’</w:t>
      </w:r>
      <w:r>
        <w:t>une participation criminelle à vie et de mettre en évidence les stratégies et les programmes de prévention du crime qui auraient pu être utiles pour atténuer le risque de délinquance de Tyler tout au long de sa vie.</w:t>
      </w:r>
    </w:p>
    <w:p w14:paraId="63AA6F89" w14:textId="77777777" w:rsidR="00D73061" w:rsidRDefault="00D73061" w:rsidP="00CD5DC0"/>
    <w:p w14:paraId="142B50BF" w14:textId="77777777" w:rsidR="00D73061" w:rsidRPr="00DC4B04" w:rsidRDefault="00D73061" w:rsidP="00CD5DC0">
      <w:pPr>
        <w:rPr>
          <w:rFonts w:cs="Arial"/>
        </w:rPr>
      </w:pPr>
    </w:p>
    <w:p w14:paraId="5D1CD89B" w14:textId="77777777" w:rsidR="005D28D3" w:rsidRPr="00DC4B04" w:rsidRDefault="00DC4B04" w:rsidP="00D660D6">
      <w:pPr>
        <w:pStyle w:val="Heading4"/>
      </w:pPr>
      <w:r>
        <w:t>Approches en matière de prévention du crime</w:t>
      </w:r>
    </w:p>
    <w:p w14:paraId="36AEA6D3" w14:textId="7C659C36" w:rsidR="006B67D2" w:rsidRPr="00DC4B04" w:rsidRDefault="00DC4B04" w:rsidP="00DE33EC">
      <w:r>
        <w:t xml:space="preserve">Chez les jeunes, il existe trois approches de prévention du crime qui peuvent être utilisées selon le niveau de risque actuel de la personne. </w:t>
      </w:r>
      <w:r>
        <w:rPr>
          <w:b/>
          <w:bCs/>
        </w:rPr>
        <w:t>Les interventions primaires</w:t>
      </w:r>
      <w:r>
        <w:t xml:space="preserve"> sont utilisées pour cibler les facteurs situationnels et sociétaux en début de vie qui peuvent augmenter le risque d</w:t>
      </w:r>
      <w:r w:rsidR="003B5177">
        <w:t>’</w:t>
      </w:r>
      <w:r>
        <w:t xml:space="preserve">activités criminelles (par exemple, dysfonctionnement familial et faible rendement scolaire). </w:t>
      </w:r>
    </w:p>
    <w:p w14:paraId="5EA38315" w14:textId="77777777" w:rsidR="00D73121" w:rsidRPr="00DC4B04" w:rsidRDefault="00D73121" w:rsidP="00DE33EC">
      <w:pPr>
        <w:rPr>
          <w:lang w:eastAsia="en-CA"/>
        </w:rPr>
      </w:pPr>
    </w:p>
    <w:p w14:paraId="41E8A6E1" w14:textId="1F18F33E" w:rsidR="00A6087B" w:rsidRPr="00DC4B04" w:rsidRDefault="00DC4B04" w:rsidP="00DE33EC">
      <w:r>
        <w:rPr>
          <w:b/>
          <w:bCs/>
          <w:sz w:val="24"/>
          <w:szCs w:val="20"/>
        </w:rPr>
        <w:t>Figure 1 :</w:t>
      </w:r>
      <w:r>
        <w:rPr>
          <w:sz w:val="24"/>
          <w:szCs w:val="20"/>
        </w:rPr>
        <w:t xml:space="preserve"> L</w:t>
      </w:r>
      <w:r w:rsidR="003B5177">
        <w:rPr>
          <w:sz w:val="24"/>
          <w:szCs w:val="20"/>
        </w:rPr>
        <w:t>’</w:t>
      </w:r>
      <w:r>
        <w:rPr>
          <w:sz w:val="24"/>
          <w:szCs w:val="20"/>
        </w:rPr>
        <w:t>intervention principale dans l</w:t>
      </w:r>
      <w:r w:rsidR="003B5177">
        <w:rPr>
          <w:sz w:val="24"/>
          <w:szCs w:val="20"/>
        </w:rPr>
        <w:t>’</w:t>
      </w:r>
      <w:r>
        <w:rPr>
          <w:sz w:val="24"/>
          <w:szCs w:val="20"/>
        </w:rPr>
        <w:t>histoire de Tyler</w:t>
      </w:r>
    </w:p>
    <w:p w14:paraId="1556CEF2" w14:textId="07B0DD0F" w:rsidR="006B67D2" w:rsidRPr="00DC4B04" w:rsidRDefault="00FB5E85" w:rsidP="00DE33EC">
      <w:r>
        <w:rPr>
          <w:noProof/>
        </w:rPr>
        <w:drawing>
          <wp:inline distT="0" distB="0" distL="0" distR="0" wp14:anchorId="4DCA7E89" wp14:editId="5384DD3D">
            <wp:extent cx="5943600" cy="1535430"/>
            <wp:effectExtent l="0" t="0" r="0" b="7620"/>
            <wp:docPr id="802067510" name="Picture 1" descr="Un diagramme chronologique montrant l’âge de Tyler et trois niveaux d’intervention. La première étape, intitulée « Interventions primaires ». La deuxième étape, intitulée « Interventions secondaires », suit la première étape. La troisième étape, intitulée « Interventions tertiaires », suit le niveau secondaire. Une ligne verticale à l’âge de 10 ans indique le début de l’intervention SNAP® pour Ty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067510" name="Picture 1" descr="Un diagramme chronologique montrant l’âge de Tyler et trois niveaux d’intervention. La première étape, intitulée « Interventions primaires ». La deuxième étape, intitulée « Interventions secondaires », suit la première étape. La troisième étape, intitulée « Interventions tertiaires », suit le niveau secondaire. Une ligne verticale à l’âge de 10 ans indique le début de l’intervention SNAP® pour Tyle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1535430"/>
                    </a:xfrm>
                    <a:prstGeom prst="rect">
                      <a:avLst/>
                    </a:prstGeom>
                    <a:noFill/>
                    <a:ln>
                      <a:noFill/>
                    </a:ln>
                  </pic:spPr>
                </pic:pic>
              </a:graphicData>
            </a:graphic>
          </wp:inline>
        </w:drawing>
      </w:r>
    </w:p>
    <w:p w14:paraId="3E4DDF26" w14:textId="22612E0C" w:rsidR="006B67D2" w:rsidRPr="00DC4B04" w:rsidRDefault="00DC4B04" w:rsidP="00DE33EC">
      <w:r>
        <w:rPr>
          <w:b/>
          <w:bCs/>
        </w:rPr>
        <w:t>Des interventions secondaires</w:t>
      </w:r>
      <w:r>
        <w:t xml:space="preserve"> sont utilisées pour les jeunes qui présentent déjà des comportements à risque qui peuvent dégénérer en comportements criminels s</w:t>
      </w:r>
      <w:r w:rsidR="003B5177">
        <w:t>’</w:t>
      </w:r>
      <w:r>
        <w:t>ils ne sont pas traités (comme l</w:t>
      </w:r>
      <w:r w:rsidR="003B5177">
        <w:t>’</w:t>
      </w:r>
      <w:r>
        <w:t>agressivité et l</w:t>
      </w:r>
      <w:r w:rsidR="003B5177">
        <w:t>’</w:t>
      </w:r>
      <w:r>
        <w:t>association avec des pairs délinquants). Les approches primaires et secondaires de prévention du crime mettent l</w:t>
      </w:r>
      <w:r w:rsidR="003B5177">
        <w:t>’</w:t>
      </w:r>
      <w:r>
        <w:t>accent sur l</w:t>
      </w:r>
      <w:r w:rsidR="003B5177">
        <w:t>’</w:t>
      </w:r>
      <w:r>
        <w:t>intervention précoce, en s</w:t>
      </w:r>
      <w:r w:rsidR="003B5177">
        <w:t>’</w:t>
      </w:r>
      <w:r>
        <w:t>efforçant d</w:t>
      </w:r>
      <w:r w:rsidR="003B5177">
        <w:t>’</w:t>
      </w:r>
      <w:r>
        <w:t>éliminer le risque de délinquance criminelle avant qu</w:t>
      </w:r>
      <w:r w:rsidR="003B5177">
        <w:t>’</w:t>
      </w:r>
      <w:r>
        <w:t>elle ne se produise. Ces interventions peuvent prendre la forme de campagnes de sécurité telles que des programmes de prévention de la toxicomanie et de l</w:t>
      </w:r>
      <w:r w:rsidR="003B5177">
        <w:t>’</w:t>
      </w:r>
      <w:r>
        <w:t xml:space="preserve">alcool (Sécurité publique Canada, 2003; Battams et coll., 2021). </w:t>
      </w:r>
    </w:p>
    <w:p w14:paraId="7309C6CB" w14:textId="77777777" w:rsidR="00D73061" w:rsidRDefault="00D73061">
      <w:pPr>
        <w:spacing w:after="160" w:line="259" w:lineRule="auto"/>
        <w:rPr>
          <w:b/>
          <w:bCs/>
          <w:sz w:val="24"/>
          <w:szCs w:val="20"/>
        </w:rPr>
      </w:pPr>
      <w:r>
        <w:rPr>
          <w:b/>
          <w:bCs/>
          <w:sz w:val="24"/>
          <w:szCs w:val="20"/>
        </w:rPr>
        <w:br w:type="page"/>
      </w:r>
    </w:p>
    <w:p w14:paraId="4C768859" w14:textId="75A5C1D4" w:rsidR="00A6087B" w:rsidRPr="00DC4B04" w:rsidRDefault="00DC4B04" w:rsidP="006C56F5">
      <w:pPr>
        <w:spacing w:before="240"/>
        <w:rPr>
          <w:sz w:val="24"/>
          <w:szCs w:val="20"/>
        </w:rPr>
      </w:pPr>
      <w:r>
        <w:rPr>
          <w:b/>
          <w:bCs/>
          <w:sz w:val="24"/>
          <w:szCs w:val="20"/>
        </w:rPr>
        <w:t>Figure 2 :</w:t>
      </w:r>
      <w:r>
        <w:rPr>
          <w:sz w:val="24"/>
          <w:szCs w:val="20"/>
        </w:rPr>
        <w:t xml:space="preserve"> L</w:t>
      </w:r>
      <w:r w:rsidR="003B5177">
        <w:rPr>
          <w:sz w:val="24"/>
          <w:szCs w:val="20"/>
        </w:rPr>
        <w:t>’</w:t>
      </w:r>
      <w:r>
        <w:rPr>
          <w:sz w:val="24"/>
          <w:szCs w:val="20"/>
        </w:rPr>
        <w:t>intervention secondaire dans l</w:t>
      </w:r>
      <w:r w:rsidR="003B5177">
        <w:rPr>
          <w:sz w:val="24"/>
          <w:szCs w:val="20"/>
        </w:rPr>
        <w:t>’</w:t>
      </w:r>
      <w:r>
        <w:rPr>
          <w:sz w:val="24"/>
          <w:szCs w:val="20"/>
        </w:rPr>
        <w:t>histoire de Tyler</w:t>
      </w:r>
    </w:p>
    <w:p w14:paraId="7A59AC79" w14:textId="510BB59D" w:rsidR="00A34280" w:rsidRPr="00DC4B04" w:rsidRDefault="00FB5E85" w:rsidP="00DE33EC">
      <w:r>
        <w:rPr>
          <w:noProof/>
        </w:rPr>
        <w:drawing>
          <wp:inline distT="0" distB="0" distL="0" distR="0" wp14:anchorId="44BB43F9" wp14:editId="57DB0ADA">
            <wp:extent cx="5943600" cy="1535430"/>
            <wp:effectExtent l="0" t="0" r="0" b="7620"/>
            <wp:docPr id="1438770049" name="Picture 2" descr="Un diagramme chronologique montrant l’âge de Tyler et trois niveaux d’intervention. La première étape, intitulée « Interventions primaires ». La deuxième étape, intitulée « Interventions secondaires », suit la première étape. La troisième étape, intitulée « Interventions tertiaires », suit le niveau secondaire. &#10;&#10;Une ligne verticale à l’âge de 10 ans indique le début de l’intervention SNAP® pour Tyler. Ensuite, le programme YIP est indiqué à l’âge de 13 ans et représente son intervention second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70049" name="Picture 2" descr="Un diagramme chronologique montrant l’âge de Tyler et trois niveaux d’intervention. La première étape, intitulée « Interventions primaires ». La deuxième étape, intitulée « Interventions secondaires », suit la première étape. La troisième étape, intitulée « Interventions tertiaires », suit le niveau secondaire. &#10;&#10;Une ligne verticale à l’âge de 10 ans indique le début de l’intervention SNAP® pour Tyler. Ensuite, le programme YIP est indiqué à l’âge de 13 ans et représente son intervention secondair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1535430"/>
                    </a:xfrm>
                    <a:prstGeom prst="rect">
                      <a:avLst/>
                    </a:prstGeom>
                    <a:noFill/>
                    <a:ln>
                      <a:noFill/>
                    </a:ln>
                  </pic:spPr>
                </pic:pic>
              </a:graphicData>
            </a:graphic>
          </wp:inline>
        </w:drawing>
      </w:r>
      <w:r w:rsidR="00DC4B04">
        <w:rPr>
          <w:b/>
          <w:bCs/>
        </w:rPr>
        <w:t>Les interventions tertiaires</w:t>
      </w:r>
      <w:r w:rsidR="00DC4B04">
        <w:t>, cependant, sont mises en œuvre après le début du comportement criminel. Elles visent à réduire la récidive en ciblant les facteurs ayant un lien connu avec la délinquance (y compris la consommation de substances et les attitudes procriminelles) [Sécurité publique Canada, 2003; Battams et coll., 2021].</w:t>
      </w:r>
    </w:p>
    <w:p w14:paraId="2F834997" w14:textId="3B2943D0" w:rsidR="00252D90" w:rsidRPr="00DC4B04" w:rsidRDefault="00DC4B04" w:rsidP="00DE33EC">
      <w:pPr>
        <w:rPr>
          <w:sz w:val="24"/>
          <w:szCs w:val="20"/>
        </w:rPr>
      </w:pPr>
      <w:r>
        <w:rPr>
          <w:b/>
          <w:bCs/>
          <w:sz w:val="24"/>
          <w:szCs w:val="20"/>
        </w:rPr>
        <w:t>Figure 3 :</w:t>
      </w:r>
      <w:r>
        <w:rPr>
          <w:sz w:val="24"/>
          <w:szCs w:val="20"/>
        </w:rPr>
        <w:t xml:space="preserve"> L</w:t>
      </w:r>
      <w:r w:rsidR="003B5177">
        <w:rPr>
          <w:sz w:val="24"/>
          <w:szCs w:val="20"/>
        </w:rPr>
        <w:t>’</w:t>
      </w:r>
      <w:r>
        <w:rPr>
          <w:sz w:val="24"/>
          <w:szCs w:val="20"/>
        </w:rPr>
        <w:t>intervention tertiaire dans l</w:t>
      </w:r>
      <w:r w:rsidR="003B5177">
        <w:rPr>
          <w:sz w:val="24"/>
          <w:szCs w:val="20"/>
        </w:rPr>
        <w:t>’</w:t>
      </w:r>
      <w:r>
        <w:rPr>
          <w:sz w:val="24"/>
          <w:szCs w:val="20"/>
        </w:rPr>
        <w:t>histoire de Tyler</w:t>
      </w:r>
    </w:p>
    <w:p w14:paraId="5AAAE5C5" w14:textId="53C2E0E4" w:rsidR="00CD5DC0" w:rsidRPr="00DC4B04" w:rsidRDefault="00FB5E85" w:rsidP="00CD5DC0">
      <w:pPr>
        <w:rPr>
          <w:rFonts w:cs="Arial"/>
        </w:rPr>
      </w:pPr>
      <w:r>
        <w:rPr>
          <w:noProof/>
        </w:rPr>
        <w:drawing>
          <wp:inline distT="0" distB="0" distL="0" distR="0" wp14:anchorId="1FBFD59D" wp14:editId="00BBAE9E">
            <wp:extent cx="5943600" cy="1535430"/>
            <wp:effectExtent l="0" t="0" r="0" b="7620"/>
            <wp:docPr id="801229378" name="Picture 3" descr="Un diagramme chronologique montrant l’âge de Tyler et trois niveaux d’intervention. La première étape, intitulée « Interventions primaires ». La deuxième étape, intitulée « Interventions secondaires », suit la première étape. La troisième étape, intitulée « Interventions tertiaires », suit le niveau secondaire. Une ligne verticale à l’âge de 10 ans indique le début de l’intervention SNAP® pour Tyler. Ensuite, le programme YIP est indiqué à l’âge de 13 ans et représente son intervention secondaire. Enfin, le programme MST est indiqué à l’âge de 17 ans et constitue l’intervention tertiaire de Ty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229378" name="Picture 3" descr="Un diagramme chronologique montrant l’âge de Tyler et trois niveaux d’intervention. La première étape, intitulée « Interventions primaires ». La deuxième étape, intitulée « Interventions secondaires », suit la première étape. La troisième étape, intitulée « Interventions tertiaires », suit le niveau secondaire. Une ligne verticale à l’âge de 10 ans indique le début de l’intervention SNAP® pour Tyler. Ensuite, le programme YIP est indiqué à l’âge de 13 ans et représente son intervention secondaire. Enfin, le programme MST est indiqué à l’âge de 17 ans et constitue l’intervention tertiaire de Tyle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1535430"/>
                    </a:xfrm>
                    <a:prstGeom prst="rect">
                      <a:avLst/>
                    </a:prstGeom>
                    <a:noFill/>
                    <a:ln>
                      <a:noFill/>
                    </a:ln>
                  </pic:spPr>
                </pic:pic>
              </a:graphicData>
            </a:graphic>
          </wp:inline>
        </w:drawing>
      </w:r>
      <w:r w:rsidR="00DC4B04">
        <w:t>Conformément aux trois approches de prévention de la criminalité chez les jeunes, les facteurs de risque pertinents dans l</w:t>
      </w:r>
      <w:r w:rsidR="003B5177">
        <w:t>’</w:t>
      </w:r>
      <w:r w:rsidR="00DC4B04">
        <w:t>histoire de Tyler sont mis en évidence à chaque période de développement de la vie pour :</w:t>
      </w:r>
    </w:p>
    <w:p w14:paraId="693D8E15" w14:textId="67E1B307" w:rsidR="00CD5DC0" w:rsidRPr="00DC4B04" w:rsidRDefault="00DC4B04" w:rsidP="00F1601D">
      <w:pPr>
        <w:pStyle w:val="ListParagraph"/>
        <w:numPr>
          <w:ilvl w:val="0"/>
          <w:numId w:val="16"/>
        </w:numPr>
        <w:tabs>
          <w:tab w:val="clear" w:pos="360"/>
        </w:tabs>
        <w:spacing w:before="40" w:after="240" w:line="360" w:lineRule="auto"/>
        <w:contextualSpacing w:val="0"/>
        <w:rPr>
          <w:rFonts w:cs="Arial"/>
        </w:rPr>
      </w:pPr>
      <w:r>
        <w:t>démontrer comment les événements de la jeunesse ont une incidence sur le développement de Tyler et s</w:t>
      </w:r>
      <w:r w:rsidR="003B5177">
        <w:t>’</w:t>
      </w:r>
      <w:r>
        <w:t>aggravent au fil du temps;</w:t>
      </w:r>
    </w:p>
    <w:p w14:paraId="79809B76" w14:textId="3AA04551" w:rsidR="00A34280" w:rsidRPr="00DC4B04" w:rsidRDefault="00DC4B04" w:rsidP="00F1601D">
      <w:pPr>
        <w:pStyle w:val="ListParagraph"/>
        <w:numPr>
          <w:ilvl w:val="0"/>
          <w:numId w:val="16"/>
        </w:numPr>
        <w:tabs>
          <w:tab w:val="clear" w:pos="360"/>
        </w:tabs>
        <w:spacing w:before="40" w:after="240" w:line="360" w:lineRule="auto"/>
        <w:contextualSpacing w:val="0"/>
        <w:rPr>
          <w:rFonts w:cs="Arial"/>
        </w:rPr>
      </w:pPr>
      <w:r>
        <w:t>déterminer les périodes où l</w:t>
      </w:r>
      <w:r w:rsidR="003B5177">
        <w:t>’</w:t>
      </w:r>
      <w:r>
        <w:t>utilisation d</w:t>
      </w:r>
      <w:r w:rsidR="003B5177">
        <w:t>’</w:t>
      </w:r>
      <w:r>
        <w:t>interventions primaires et secondaires pourrait avoir atténué le risque de comportement criminel de Tyler;</w:t>
      </w:r>
    </w:p>
    <w:p w14:paraId="55D8E3EB" w14:textId="77777777" w:rsidR="00A34280" w:rsidRPr="00DC4B04" w:rsidRDefault="00DC4B04" w:rsidP="00F1601D">
      <w:pPr>
        <w:pStyle w:val="ListParagraph"/>
        <w:numPr>
          <w:ilvl w:val="0"/>
          <w:numId w:val="16"/>
        </w:numPr>
        <w:tabs>
          <w:tab w:val="clear" w:pos="360"/>
        </w:tabs>
        <w:spacing w:before="40" w:after="240" w:line="360" w:lineRule="auto"/>
        <w:contextualSpacing w:val="0"/>
        <w:rPr>
          <w:rFonts w:cs="Arial"/>
        </w:rPr>
      </w:pPr>
      <w:r>
        <w:t>isoler les facteurs de risque à cibler avec une intervention tertiaire afin de réduire la probabilité de récidive de Tyler.</w:t>
      </w:r>
    </w:p>
    <w:p w14:paraId="7CAC977E" w14:textId="77777777" w:rsidR="003F2AA3" w:rsidRPr="00DC4B04" w:rsidRDefault="00DC4B04" w:rsidP="00D660D6">
      <w:pPr>
        <w:rPr>
          <w:rFonts w:cs="Arial"/>
        </w:rPr>
      </w:pPr>
      <w:r>
        <w:t>Les facteurs de risque sont également harmonisés avec les trois programmes de prévention du crime du rapport, ce qui illustre comment chacune de ces interventions pourrait atténuer le risque de Tyler. Cette approche est particulièrement importante pour comprendre comment ces interventions soutiennent les jeunes comme Tyler qui risquent de continuer à avoir un comportement criminel et à avoir des démêlés avec la justice.</w:t>
      </w:r>
    </w:p>
    <w:p w14:paraId="043CB6E9" w14:textId="77777777" w:rsidR="003F2AA3" w:rsidRPr="00DC4B04" w:rsidRDefault="00DC4B04" w:rsidP="006C6F06">
      <w:pPr>
        <w:pStyle w:val="Heading4"/>
      </w:pPr>
      <w:r>
        <w:t>Facteurs de risque</w:t>
      </w:r>
    </w:p>
    <w:p w14:paraId="2841BF1F" w14:textId="01DE0F5D" w:rsidR="006912EA" w:rsidRPr="00DC4B04" w:rsidRDefault="00DC4B04" w:rsidP="00B92472">
      <w:pPr>
        <w:rPr>
          <w:rFonts w:cs="Arial"/>
        </w:rPr>
      </w:pPr>
      <w:r>
        <w:t>Les facteurs de risque sont des influences négatives dans la vie des personnes ou de leur communauté qui peuvent augmenter la probabilité d</w:t>
      </w:r>
      <w:r w:rsidR="003B5177">
        <w:t>’</w:t>
      </w:r>
      <w:r>
        <w:t>un comportement criminel (Sécurité publique Canada, 2015). Les facteurs de risque d</w:t>
      </w:r>
      <w:r w:rsidR="003B5177">
        <w:t>’</w:t>
      </w:r>
      <w:r>
        <w:t>implication criminelle ont été conceptualisés différemment dans la littérature universitaire, selon le cadre théorique d</w:t>
      </w:r>
      <w:r w:rsidR="003B5177">
        <w:t>’</w:t>
      </w:r>
      <w:r>
        <w:t xml:space="preserve">intérêt. </w:t>
      </w:r>
    </w:p>
    <w:p w14:paraId="7D4DBDC2" w14:textId="4410AAC6" w:rsidR="00CD5475" w:rsidRPr="00DC4B04" w:rsidRDefault="00DC4B04" w:rsidP="00B92472">
      <w:pPr>
        <w:rPr>
          <w:rFonts w:cs="Arial"/>
        </w:rPr>
      </w:pPr>
      <w:r>
        <w:t>L</w:t>
      </w:r>
      <w:r w:rsidR="003B5177">
        <w:t>’</w:t>
      </w:r>
      <w:r>
        <w:t>histoire de Tyler reflète la progression des facteurs de développement et des événements de la vie qui contribuent à ses comportements criminels ultérieurs. Pour mieux comprendre cette progression, la théorie du potentiel antisocial cognitif intégré (PACI) de Farrington a été utilisée pour montrer comment les antécédents familiaux, l</w:t>
      </w:r>
      <w:r w:rsidR="003B5177">
        <w:t>’</w:t>
      </w:r>
      <w:r>
        <w:t>environnement social et les facteurs individuels peuvent expliquer l</w:t>
      </w:r>
      <w:r w:rsidR="003B5177">
        <w:t>’</w:t>
      </w:r>
      <w:r>
        <w:t>apparition d</w:t>
      </w:r>
      <w:r w:rsidR="003B5177">
        <w:t>’</w:t>
      </w:r>
      <w:r>
        <w:t xml:space="preserve">un comportement criminel (Farrington, 2019). </w:t>
      </w:r>
    </w:p>
    <w:p w14:paraId="2A75AFD8" w14:textId="672A6797" w:rsidR="00CD5475" w:rsidRPr="00DC4B04" w:rsidRDefault="00DC4B04" w:rsidP="00B92472">
      <w:pPr>
        <w:rPr>
          <w:rFonts w:cs="Arial"/>
        </w:rPr>
      </w:pPr>
      <w:r>
        <w:t>La théorie du PACI fait la différence entre les facteurs de risque en début de vie (les vulnérabilités à long terme augmentent le risque au fil du temps) et les facteurs de risque situationnels (les déclencheurs à court terme augmentent le risque immédiat), ce qui suggère qu</w:t>
      </w:r>
      <w:r w:rsidR="003B5177">
        <w:t>’</w:t>
      </w:r>
      <w:r>
        <w:t>une combinaison de ces éléments augmente la probabilité d</w:t>
      </w:r>
      <w:r w:rsidR="003B5177">
        <w:t>’</w:t>
      </w:r>
      <w:r>
        <w:t xml:space="preserve">un comportement criminel (Farrington, 2019). </w:t>
      </w:r>
    </w:p>
    <w:p w14:paraId="105E12D8" w14:textId="77777777" w:rsidR="00D73061" w:rsidRDefault="00D73061" w:rsidP="00B92472"/>
    <w:p w14:paraId="7FE7A863" w14:textId="73D01261" w:rsidR="002F5E9C" w:rsidRPr="00DC4B04" w:rsidRDefault="00DC4B04" w:rsidP="00B92472">
      <w:pPr>
        <w:rPr>
          <w:rFonts w:cs="Arial"/>
          <w:b/>
          <w:bCs/>
        </w:rPr>
      </w:pPr>
      <w:r>
        <w:t>Les facteurs de risque en début de vie qui changent lentement dépendent en grande partie de l</w:t>
      </w:r>
      <w:r w:rsidR="003B5177">
        <w:t>’</w:t>
      </w:r>
      <w:r>
        <w:t>impulsivité et du processus de modélisation et de socialisation, comme le fait d</w:t>
      </w:r>
      <w:r w:rsidR="003B5177">
        <w:t>’</w:t>
      </w:r>
      <w:r>
        <w:t>avoir des membres de la famille ou des pairs criminels (Farrington, 2019). En revanche, les facteurs de risque situationnels changent rapidement et dépendent de la motivation et des influences situationnelles telles que l</w:t>
      </w:r>
      <w:r w:rsidR="003B5177">
        <w:t>’</w:t>
      </w:r>
      <w:r>
        <w:t>ennui, la colère ou la disponibilité des victimes (Farrington, 2019). À titre d</w:t>
      </w:r>
      <w:r w:rsidR="003B5177">
        <w:t>’</w:t>
      </w:r>
      <w:r>
        <w:t xml:space="preserve">exemple : </w:t>
      </w:r>
    </w:p>
    <w:p w14:paraId="7533E3A2" w14:textId="77777777" w:rsidR="00A2331F" w:rsidRPr="00DC4B04" w:rsidRDefault="00DC4B04" w:rsidP="00B92472">
      <w:pPr>
        <w:rPr>
          <w:rFonts w:cs="Arial"/>
          <w:b/>
          <w:bCs/>
        </w:rPr>
      </w:pPr>
      <w:r>
        <w:rPr>
          <w:b/>
          <w:bCs/>
        </w:rPr>
        <w:t>Les facteurs de risque en début de vie (à long terme) comprennent :</w:t>
      </w:r>
    </w:p>
    <w:p w14:paraId="62B0BFDA" w14:textId="77777777" w:rsidR="00A2331F" w:rsidRPr="00DC4B04" w:rsidRDefault="00DC4B04" w:rsidP="00A2331F">
      <w:pPr>
        <w:pStyle w:val="ListParagraph"/>
        <w:numPr>
          <w:ilvl w:val="0"/>
          <w:numId w:val="12"/>
        </w:numPr>
        <w:rPr>
          <w:rFonts w:cs="Arial"/>
        </w:rPr>
      </w:pPr>
      <w:r>
        <w:t>Mauvaise éducation parentale</w:t>
      </w:r>
    </w:p>
    <w:p w14:paraId="31BCEDBB" w14:textId="77777777" w:rsidR="00F05C05" w:rsidRPr="00DC4B04" w:rsidRDefault="00DC4B04" w:rsidP="00A2331F">
      <w:pPr>
        <w:pStyle w:val="ListParagraph"/>
        <w:numPr>
          <w:ilvl w:val="0"/>
          <w:numId w:val="12"/>
        </w:numPr>
        <w:rPr>
          <w:rFonts w:cs="Arial"/>
        </w:rPr>
      </w:pPr>
      <w:r>
        <w:t>Instabilité financière</w:t>
      </w:r>
    </w:p>
    <w:p w14:paraId="37F8E91D" w14:textId="77777777" w:rsidR="00A2331F" w:rsidRPr="00DC4B04" w:rsidRDefault="00DC4B04" w:rsidP="00A2331F">
      <w:pPr>
        <w:pStyle w:val="ListParagraph"/>
        <w:numPr>
          <w:ilvl w:val="0"/>
          <w:numId w:val="12"/>
        </w:numPr>
        <w:rPr>
          <w:rFonts w:cs="Arial"/>
        </w:rPr>
      </w:pPr>
      <w:r>
        <w:t>Faible rendement scolaire</w:t>
      </w:r>
    </w:p>
    <w:p w14:paraId="6313D0A1" w14:textId="77777777" w:rsidR="00F05C05" w:rsidRPr="00DC4B04" w:rsidRDefault="00DC4B04" w:rsidP="00F05C05">
      <w:pPr>
        <w:pStyle w:val="ListParagraph"/>
        <w:numPr>
          <w:ilvl w:val="0"/>
          <w:numId w:val="12"/>
        </w:numPr>
        <w:rPr>
          <w:rFonts w:cs="Arial"/>
        </w:rPr>
      </w:pPr>
      <w:r>
        <w:t>Association avec des pairs délinquants</w:t>
      </w:r>
    </w:p>
    <w:p w14:paraId="0A379B31" w14:textId="77777777" w:rsidR="00A2331F" w:rsidRPr="00DC4B04" w:rsidRDefault="00DC4B04" w:rsidP="00A2331F">
      <w:pPr>
        <w:rPr>
          <w:rFonts w:cs="Arial"/>
          <w:b/>
          <w:bCs/>
        </w:rPr>
      </w:pPr>
      <w:r>
        <w:rPr>
          <w:b/>
          <w:bCs/>
        </w:rPr>
        <w:t>Les facteurs de risque situationnels (à court terme) comprennent :</w:t>
      </w:r>
    </w:p>
    <w:p w14:paraId="12494D18" w14:textId="77777777" w:rsidR="00A2331F" w:rsidRPr="00DC4B04" w:rsidRDefault="00DC4B04" w:rsidP="00A2331F">
      <w:pPr>
        <w:pStyle w:val="ListParagraph"/>
        <w:numPr>
          <w:ilvl w:val="0"/>
          <w:numId w:val="13"/>
        </w:numPr>
        <w:rPr>
          <w:rFonts w:cs="Arial"/>
        </w:rPr>
      </w:pPr>
      <w:r>
        <w:t>Manque de supervision</w:t>
      </w:r>
    </w:p>
    <w:p w14:paraId="211F3E3A" w14:textId="544CA9F3" w:rsidR="00A2331F" w:rsidRPr="00DC4B04" w:rsidRDefault="00DC4B04" w:rsidP="00A2331F">
      <w:pPr>
        <w:pStyle w:val="ListParagraph"/>
        <w:numPr>
          <w:ilvl w:val="0"/>
          <w:numId w:val="13"/>
        </w:numPr>
        <w:rPr>
          <w:rFonts w:cs="Arial"/>
        </w:rPr>
      </w:pPr>
      <w:r>
        <w:t>Consommation d</w:t>
      </w:r>
      <w:r w:rsidR="003B5177">
        <w:t>’</w:t>
      </w:r>
      <w:r>
        <w:t>alcool ou de substances</w:t>
      </w:r>
    </w:p>
    <w:p w14:paraId="46A30CDD" w14:textId="77777777" w:rsidR="00A2331F" w:rsidRPr="00DC4B04" w:rsidRDefault="00DC4B04" w:rsidP="00F039BF">
      <w:pPr>
        <w:pStyle w:val="ListParagraph"/>
        <w:numPr>
          <w:ilvl w:val="0"/>
          <w:numId w:val="13"/>
        </w:numPr>
        <w:rPr>
          <w:rFonts w:cs="Arial"/>
        </w:rPr>
      </w:pPr>
      <w:r>
        <w:t>Pression des pairs</w:t>
      </w:r>
    </w:p>
    <w:p w14:paraId="7831534C" w14:textId="77777777" w:rsidR="00D5016B" w:rsidRPr="00DC4B04" w:rsidRDefault="00DC4B04" w:rsidP="00F039BF">
      <w:pPr>
        <w:pStyle w:val="ListParagraph"/>
        <w:numPr>
          <w:ilvl w:val="0"/>
          <w:numId w:val="13"/>
        </w:numPr>
        <w:rPr>
          <w:rFonts w:cs="Arial"/>
        </w:rPr>
      </w:pPr>
      <w:r>
        <w:t>Impulsivité</w:t>
      </w:r>
    </w:p>
    <w:p w14:paraId="175582B9" w14:textId="02E2D039" w:rsidR="00425955" w:rsidRDefault="00DC4B04" w:rsidP="00425955">
      <w:r>
        <w:t>Les résultats récents d</w:t>
      </w:r>
      <w:r w:rsidR="003B5177">
        <w:t>’</w:t>
      </w:r>
      <w:r>
        <w:t>une revue systématique ont renforcé la théorie du PACI de Farrington, soulignant comment les facteurs précoces et situationnels peuvent agir simultanément pour augmenter le risque de délinquance ultérieure (Ayano et coll., 2024). Ces facteurs de risque, s</w:t>
      </w:r>
      <w:r w:rsidR="003B5177">
        <w:t>’</w:t>
      </w:r>
      <w:r>
        <w:t>ils sont déterminés en début de vie, peuvent être résolus par une intervention précoce (par exemple, des interventions primaires ou secondaires) qui contourne complètement le comportement criminel. Cependant, une fois qu</w:t>
      </w:r>
      <w:r w:rsidR="003B5177">
        <w:t>’</w:t>
      </w:r>
      <w:r>
        <w:t xml:space="preserve">une personne se livre à un comportement criminel, des stratégies de prévention tertiaire du crime sont nécessaires pour réduire la probabilité de récidive. </w:t>
      </w:r>
    </w:p>
    <w:p w14:paraId="05E726CC" w14:textId="77777777" w:rsidR="00D73061" w:rsidRPr="00DC4B04" w:rsidRDefault="00D73061" w:rsidP="00425955">
      <w:pPr>
        <w:rPr>
          <w:rFonts w:cs="Arial"/>
        </w:rPr>
      </w:pPr>
    </w:p>
    <w:p w14:paraId="4684AD47" w14:textId="24AFB91D" w:rsidR="00425955" w:rsidRPr="00DC4B04" w:rsidRDefault="00DC4B04" w:rsidP="006C6F06">
      <w:pPr>
        <w:pStyle w:val="Alert-type-info"/>
      </w:pPr>
      <w:r>
        <w:t>Les premières expériences de Tyler mettent en évidence plusieurs facteurs de risque décrits dans la théorie du PACI de Farrington, notamment : l</w:t>
      </w:r>
      <w:r w:rsidR="003B5177">
        <w:t>’</w:t>
      </w:r>
      <w:r>
        <w:t>instabilité financière, l</w:t>
      </w:r>
      <w:r w:rsidR="003B5177">
        <w:t>’</w:t>
      </w:r>
      <w:r>
        <w:t>exposition à la violence physique, psychologique et émotionnelle à la maison, le comportement criminel des parents, la négligence et la prestation de soins inconstants. L</w:t>
      </w:r>
      <w:r w:rsidR="003B5177">
        <w:t>’</w:t>
      </w:r>
      <w:r>
        <w:t>incarcération de son père et son absence subséquente sont des exemples de facteurs de risque à long terme, perturbant le sentiment de sécurité et l</w:t>
      </w:r>
      <w:r w:rsidR="003B5177">
        <w:t>’</w:t>
      </w:r>
      <w:r>
        <w:t>attachement de Tyler aux principaux adultes de sa vie. En revanche, le comportement agressif précoce, le manque de supervision et l</w:t>
      </w:r>
      <w:r w:rsidR="003B5177">
        <w:t>’</w:t>
      </w:r>
      <w:r>
        <w:t>impulsivité de Tyler sont des exemples de facteurs de risque à court terme. De plus, le trouble d</w:t>
      </w:r>
      <w:r w:rsidR="003B5177">
        <w:t>’</w:t>
      </w:r>
      <w:r>
        <w:t>apprentissage non traité de Tyler et son trouble déficitaire de l</w:t>
      </w:r>
      <w:r w:rsidR="003B5177">
        <w:t>’</w:t>
      </w:r>
      <w:r>
        <w:t>attention avec hyperactivité (TDAH), combinés à la négligence émotionnelle de son père, ont exacerbé ses difficultés à nouer des amitiés et à gérer son comportement, ce qui a entraîné des conflits répétés à l</w:t>
      </w:r>
      <w:r w:rsidR="003B5177">
        <w:t>’</w:t>
      </w:r>
      <w:r>
        <w:t>école et finalement une suspension. De telles combinaisons de facteurs de risque à court et à long terme établissent le contexte du cheminement de Tyler vers des éventuels démêlés avec la justice pénale.</w:t>
      </w:r>
    </w:p>
    <w:p w14:paraId="6AF84DDD" w14:textId="3B0ECD80" w:rsidR="00425955" w:rsidRPr="00DC4B04" w:rsidRDefault="00DC4B04" w:rsidP="006C6F06">
      <w:pPr>
        <w:pStyle w:val="Alert-type-info"/>
      </w:pPr>
      <w:r>
        <w:t>L</w:t>
      </w:r>
      <w:r w:rsidR="003B5177">
        <w:t>’</w:t>
      </w:r>
      <w:r>
        <w:t>adolescence de Tyler a également été marquée par plusieurs facteurs de risque à court et à long terme, notamment l</w:t>
      </w:r>
      <w:r w:rsidR="003B5177">
        <w:t>’</w:t>
      </w:r>
      <w:r>
        <w:t>absence de modèles positifs, le manque d</w:t>
      </w:r>
      <w:r w:rsidR="003B5177">
        <w:t>’</w:t>
      </w:r>
      <w:r>
        <w:t>attachement aux principaux adultes de sa vie, l</w:t>
      </w:r>
      <w:r w:rsidR="003B5177">
        <w:t>’</w:t>
      </w:r>
      <w:r>
        <w:t>association avec des pairs délinquants et la toxicomanie. De plus, la baisse du rendement scolaire et l</w:t>
      </w:r>
      <w:r w:rsidR="003B5177">
        <w:t>’</w:t>
      </w:r>
      <w:r>
        <w:t>absentéisme de Tyler ont contribué à son comportement criminel; sa participation à des délits mineurs et au vandalisme s</w:t>
      </w:r>
      <w:r w:rsidR="003B5177">
        <w:t>’</w:t>
      </w:r>
      <w:r>
        <w:t>est transformée en infractions plus graves comme le vol de pièces automobiles et les dommages matériels. Le manque de possibilités non criminelles de stabilité financière et l</w:t>
      </w:r>
      <w:r w:rsidR="003B5177">
        <w:t>’</w:t>
      </w:r>
      <w:r>
        <w:t>insuffisance des systèmes de soutien n</w:t>
      </w:r>
      <w:r w:rsidR="003B5177">
        <w:t>’</w:t>
      </w:r>
      <w:r>
        <w:t>ont pas aidé Tyler à se séparer de ses pairs délinquants, ce qui l</w:t>
      </w:r>
      <w:r w:rsidR="003B5177">
        <w:t>’</w:t>
      </w:r>
      <w:r>
        <w:t xml:space="preserve">a mené à avoir des démêlés chroniques avec le système de justice. </w:t>
      </w:r>
    </w:p>
    <w:p w14:paraId="52D005A7" w14:textId="4650A422" w:rsidR="00CD5DC0" w:rsidRPr="00DC4B04" w:rsidRDefault="00DC4B04" w:rsidP="002C377F">
      <w:pPr>
        <w:spacing w:before="240"/>
        <w:rPr>
          <w:rFonts w:cs="Arial"/>
        </w:rPr>
      </w:pPr>
      <w:r>
        <w:t>En harmonie avec le début du comportement criminel, l</w:t>
      </w:r>
      <w:r w:rsidR="003B5177">
        <w:t>’</w:t>
      </w:r>
      <w:r>
        <w:t>histoire de Tyler passe à un cadre criminologique de la délinquance afin de mieux comprendre les facteurs de risque en cause. En adoptant une perspective criminologique centrée sur les facteurs de risque criminogènes, elle permet de définir plus précisément les domaines clés à cibler dans les efforts de traitement et d</w:t>
      </w:r>
      <w:r w:rsidR="003B5177">
        <w:t>’</w:t>
      </w:r>
      <w:r>
        <w:t>intervention. Le modèle des « huit facteurs centraux », un modèle de réadaptation fondé sur des données probantes dans le cadre de la théorie basée sur la personnalité en général et sur les processus cognitifs de l</w:t>
      </w:r>
      <w:r w:rsidR="003B5177">
        <w:t>’</w:t>
      </w:r>
      <w:r>
        <w:t>apprentissage social (GPCSL) de Bonta et Andrew, décrit huit grands facteurs de risque qui ont démontré la plus forte relation avec les comportements criminels récurrents (Andrews et coll., 1990; Andrews et coll., 2006; Bonta et Andrews, 2024). Les huit principaux facteurs de risque sont résumés comme suit :</w:t>
      </w:r>
    </w:p>
    <w:p w14:paraId="1175C6F1" w14:textId="77777777" w:rsidR="00CD5DC0" w:rsidRPr="00DC4B04" w:rsidRDefault="00DC4B04" w:rsidP="00CD5DC0">
      <w:pPr>
        <w:numPr>
          <w:ilvl w:val="0"/>
          <w:numId w:val="5"/>
        </w:numPr>
        <w:spacing w:after="200"/>
        <w:rPr>
          <w:rFonts w:cs="Arial"/>
        </w:rPr>
      </w:pPr>
      <w:r>
        <w:rPr>
          <w:b/>
          <w:bCs/>
        </w:rPr>
        <w:t>Antécédents antisociaux</w:t>
      </w:r>
      <w:r>
        <w:t xml:space="preserve"> : âge précoce à la première infraction, accusations antérieures, incarcération, faible maîtrise de soi, recherche du plaisir </w:t>
      </w:r>
    </w:p>
    <w:p w14:paraId="6E5DB4E9" w14:textId="77777777" w:rsidR="00CD5DC0" w:rsidRPr="00DC4B04" w:rsidRDefault="00DC4B04" w:rsidP="00CD5DC0">
      <w:pPr>
        <w:numPr>
          <w:ilvl w:val="0"/>
          <w:numId w:val="5"/>
        </w:numPr>
        <w:spacing w:after="200"/>
        <w:rPr>
          <w:rFonts w:cs="Arial"/>
        </w:rPr>
      </w:pPr>
      <w:r>
        <w:rPr>
          <w:b/>
          <w:bCs/>
        </w:rPr>
        <w:t>Personnalité</w:t>
      </w:r>
      <w:r>
        <w:t> : agressivité, colère, impulsivité et mauvaise régulation émotionnelle</w:t>
      </w:r>
    </w:p>
    <w:p w14:paraId="1BF232AD" w14:textId="77777777" w:rsidR="00CD5DC0" w:rsidRPr="00DC4B04" w:rsidRDefault="00DC4B04" w:rsidP="00CD5DC0">
      <w:pPr>
        <w:numPr>
          <w:ilvl w:val="0"/>
          <w:numId w:val="5"/>
        </w:numPr>
        <w:spacing w:after="200"/>
        <w:rPr>
          <w:rFonts w:cs="Arial"/>
        </w:rPr>
      </w:pPr>
      <w:r>
        <w:rPr>
          <w:b/>
          <w:bCs/>
        </w:rPr>
        <w:t>Attitudes et cognitions</w:t>
      </w:r>
      <w:r>
        <w:t> : attitudes favorables à la criminalité, pensée axée sur le crime</w:t>
      </w:r>
    </w:p>
    <w:p w14:paraId="358EDD35" w14:textId="77777777" w:rsidR="00CD5DC0" w:rsidRPr="00DC4B04" w:rsidRDefault="00DC4B04" w:rsidP="00CD5DC0">
      <w:pPr>
        <w:numPr>
          <w:ilvl w:val="0"/>
          <w:numId w:val="5"/>
        </w:numPr>
        <w:spacing w:after="200"/>
        <w:rPr>
          <w:rFonts w:cs="Arial"/>
        </w:rPr>
      </w:pPr>
      <w:r>
        <w:rPr>
          <w:b/>
          <w:bCs/>
        </w:rPr>
        <w:t>Pairs/associés</w:t>
      </w:r>
      <w:r>
        <w:t xml:space="preserve"> : association étroite avec des pairs antisociaux et/ou criminels, soutien social pour la criminalité </w:t>
      </w:r>
    </w:p>
    <w:p w14:paraId="44C9033C" w14:textId="336B88AD" w:rsidR="00CD5DC0" w:rsidRPr="00DC4B04" w:rsidRDefault="00DC4B04" w:rsidP="00CD5DC0">
      <w:pPr>
        <w:numPr>
          <w:ilvl w:val="0"/>
          <w:numId w:val="5"/>
        </w:numPr>
        <w:spacing w:after="200"/>
        <w:rPr>
          <w:rFonts w:cs="Arial"/>
        </w:rPr>
      </w:pPr>
      <w:r>
        <w:rPr>
          <w:b/>
          <w:bCs/>
        </w:rPr>
        <w:t>Famille</w:t>
      </w:r>
      <w:r>
        <w:t> : perturbation à la maison, supervision parentale incohérente, expériences négatives de l</w:t>
      </w:r>
      <w:r w:rsidR="003B5177">
        <w:t>’</w:t>
      </w:r>
      <w:r>
        <w:t>enfance (comme la négligence et la maltraitance)</w:t>
      </w:r>
    </w:p>
    <w:p w14:paraId="6E8DEB7D" w14:textId="232269F7" w:rsidR="00CD5DC0" w:rsidRPr="00DC4B04" w:rsidRDefault="00DC4B04" w:rsidP="00CD5DC0">
      <w:pPr>
        <w:numPr>
          <w:ilvl w:val="0"/>
          <w:numId w:val="5"/>
        </w:numPr>
        <w:spacing w:after="200"/>
        <w:rPr>
          <w:rFonts w:cs="Arial"/>
        </w:rPr>
      </w:pPr>
      <w:r>
        <w:rPr>
          <w:b/>
          <w:bCs/>
        </w:rPr>
        <w:t>École/travail</w:t>
      </w:r>
      <w:r>
        <w:t> : faibles niveaux de rendement et d</w:t>
      </w:r>
      <w:r w:rsidR="003B5177">
        <w:t>’</w:t>
      </w:r>
      <w:r>
        <w:t>engagement à l</w:t>
      </w:r>
      <w:r w:rsidR="003B5177">
        <w:t>’</w:t>
      </w:r>
      <w:r>
        <w:t>école ou au travail</w:t>
      </w:r>
    </w:p>
    <w:p w14:paraId="558FFA51" w14:textId="325C45FB" w:rsidR="00CD5DC0" w:rsidRPr="00DC4B04" w:rsidRDefault="00DC4B04" w:rsidP="00CD5DC0">
      <w:pPr>
        <w:numPr>
          <w:ilvl w:val="0"/>
          <w:numId w:val="5"/>
        </w:numPr>
        <w:spacing w:after="200"/>
        <w:rPr>
          <w:rFonts w:cs="Arial"/>
        </w:rPr>
      </w:pPr>
      <w:r>
        <w:rPr>
          <w:b/>
          <w:bCs/>
        </w:rPr>
        <w:t>Loisirs et activités récréatives</w:t>
      </w:r>
      <w:r>
        <w:t> : utilisation inappropriée du « temps libre » (par exemple, manque d</w:t>
      </w:r>
      <w:r w:rsidR="003B5177">
        <w:t>’</w:t>
      </w:r>
      <w:r>
        <w:t>activités structurées, manque d</w:t>
      </w:r>
      <w:r w:rsidR="003B5177">
        <w:t>’</w:t>
      </w:r>
      <w:r>
        <w:t>activités récréatives ou de passe-temps positifs, utilisation du « temps libre » pour se livrer à la délinquance ou à la criminalité)</w:t>
      </w:r>
    </w:p>
    <w:p w14:paraId="0F82E273" w14:textId="59571895" w:rsidR="00CD5DC0" w:rsidRPr="00DC4B04" w:rsidRDefault="00DC4B04" w:rsidP="00CD5DC0">
      <w:pPr>
        <w:numPr>
          <w:ilvl w:val="0"/>
          <w:numId w:val="5"/>
        </w:numPr>
        <w:spacing w:after="320"/>
        <w:rPr>
          <w:rFonts w:cs="Arial"/>
        </w:rPr>
      </w:pPr>
      <w:r>
        <w:rPr>
          <w:b/>
          <w:bCs/>
        </w:rPr>
        <w:t>Consommation de substances</w:t>
      </w:r>
      <w:r>
        <w:t> : abus d</w:t>
      </w:r>
      <w:r w:rsidR="003B5177">
        <w:t>’</w:t>
      </w:r>
      <w:r>
        <w:t>alcool et/ou d</w:t>
      </w:r>
      <w:r w:rsidR="003B5177">
        <w:t>’</w:t>
      </w:r>
      <w:r>
        <w:t>autres drogues</w:t>
      </w:r>
    </w:p>
    <w:p w14:paraId="2B361445" w14:textId="55A49EB0" w:rsidR="00D660D6" w:rsidRPr="00DC4B04" w:rsidRDefault="00DC4B04" w:rsidP="006C6F06">
      <w:pPr>
        <w:pStyle w:val="Alert-type-info"/>
      </w:pPr>
      <w:r>
        <w:t>L</w:t>
      </w:r>
      <w:r w:rsidR="003B5177">
        <w:t>’</w:t>
      </w:r>
      <w:r>
        <w:t>histoire de Tyler passe méthodologiquement de la théorie du PACI de la fin de l</w:t>
      </w:r>
      <w:r w:rsidR="003B5177">
        <w:t>’</w:t>
      </w:r>
      <w:r>
        <w:t>enfance au modèle des huit facteurs centraux lorsqu</w:t>
      </w:r>
      <w:r w:rsidR="003B5177">
        <w:t>’</w:t>
      </w:r>
      <w:r>
        <w:t>il atteint l</w:t>
      </w:r>
      <w:r w:rsidR="003B5177">
        <w:t>’</w:t>
      </w:r>
      <w:r>
        <w:t>adolescence, reflétant l</w:t>
      </w:r>
      <w:r w:rsidR="003B5177">
        <w:t>’</w:t>
      </w:r>
      <w:r>
        <w:t>évolution des comportements à risque au début de la vie jusqu</w:t>
      </w:r>
      <w:r w:rsidR="003B5177">
        <w:t>’</w:t>
      </w:r>
      <w:r>
        <w:t>au début de ses comportements criminels. La fin de l</w:t>
      </w:r>
      <w:r w:rsidR="003B5177">
        <w:t>’</w:t>
      </w:r>
      <w:r>
        <w:t>adolescence et le début de l</w:t>
      </w:r>
      <w:r w:rsidR="003B5177">
        <w:t>’</w:t>
      </w:r>
      <w:r>
        <w:t>âge adulte de Tyler révèlent plusieurs facteurs de risque, notamment l</w:t>
      </w:r>
      <w:r w:rsidR="003B5177">
        <w:t>’</w:t>
      </w:r>
      <w:r>
        <w:t>association avec des pairs délinquants, la consommation de substances, le manque d</w:t>
      </w:r>
      <w:r w:rsidR="003B5177">
        <w:t>’</w:t>
      </w:r>
      <w:r>
        <w:t>activités parascolaires et les absences fréquentes de l</w:t>
      </w:r>
      <w:r w:rsidR="003B5177">
        <w:t>’</w:t>
      </w:r>
      <w:r>
        <w:t>école. Sa participation à des délits mineurs s</w:t>
      </w:r>
      <w:r w:rsidR="003B5177">
        <w:t>’</w:t>
      </w:r>
      <w:r>
        <w:t>est transformée en infractions plus graves, comme le vol, les voies de fait et le trafic de drogue. L</w:t>
      </w:r>
      <w:r w:rsidR="003B5177">
        <w:t>’</w:t>
      </w:r>
      <w:r>
        <w:t>exposition de Tyler à des personnes plus endurcies pendant son incarcération a renforcé son comportement criminel. La stigmatisation de son casier judiciaire et sa difficulté à trouver un emploi l</w:t>
      </w:r>
      <w:r w:rsidR="003B5177">
        <w:t>’</w:t>
      </w:r>
      <w:r>
        <w:t>ont amené à s</w:t>
      </w:r>
      <w:r w:rsidR="003B5177">
        <w:t>’</w:t>
      </w:r>
      <w:r>
        <w:t>isoler et à poursuivre ses activités criminelles. De plus, ses relations volatiles et ses incidents de violence familiale ont contribué à ses démêlés persistants avec le système de justice. À l</w:t>
      </w:r>
      <w:r w:rsidR="003B5177">
        <w:t>’</w:t>
      </w:r>
      <w:r>
        <w:t>âge de 30 ans, Tyler avait passé plus d</w:t>
      </w:r>
      <w:r w:rsidR="003B5177">
        <w:t>’</w:t>
      </w:r>
      <w:r>
        <w:t>une décennie en détention, soulignant l</w:t>
      </w:r>
      <w:r w:rsidR="003B5177">
        <w:t>’</w:t>
      </w:r>
      <w:r>
        <w:t>incidence cumulative de ces facteurs de risque sur sa trajectoire de vie.</w:t>
      </w:r>
    </w:p>
    <w:p w14:paraId="54B46146" w14:textId="0C28A203" w:rsidR="00CD5DC0" w:rsidRPr="00DC4B04" w:rsidRDefault="00DC4B04" w:rsidP="006C56F5">
      <w:pPr>
        <w:spacing w:before="240"/>
        <w:rPr>
          <w:rFonts w:cs="Arial"/>
        </w:rPr>
      </w:pPr>
      <w:r>
        <w:t>Pris ensemble, et comme le démontre l</w:t>
      </w:r>
      <w:r w:rsidR="003B5177">
        <w:t>’</w:t>
      </w:r>
      <w:r>
        <w:t>histoire de Tyler, les facteurs de risque présentés dans la théorie du PACI de Farrington et la théorie des « huit facteurs centraux » de Bonta et Andrews se chevauchent considérablement. Ils peuvent être utilisés ensemble pour offrir une représentation holistique du risque. Bien qu</w:t>
      </w:r>
      <w:r w:rsidR="003B5177">
        <w:t>’</w:t>
      </w:r>
      <w:r>
        <w:t>ils ne soient pas exhaustifs, l</w:t>
      </w:r>
      <w:r w:rsidR="003B5177">
        <w:t>’</w:t>
      </w:r>
      <w:r>
        <w:t xml:space="preserve">interdépendance de ces facteurs de risque démontre « pourquoi » et « comment » la trajectoire de vie de Tyler a entraîné des démêlés avec la justice pénale, et démontre un certain nombre de facteurs de risque qui peuvent être ciblés par les programmes de prévention du crime. </w:t>
      </w:r>
    </w:p>
    <w:p w14:paraId="27049BD7" w14:textId="77777777" w:rsidR="00CD5DC0" w:rsidRPr="00DC4B04" w:rsidRDefault="00DC4B04" w:rsidP="00CD5DC0">
      <w:pPr>
        <w:pStyle w:val="Heading4"/>
      </w:pPr>
      <w:r>
        <w:t>Forces et facteurs de protection</w:t>
      </w:r>
    </w:p>
    <w:p w14:paraId="76DB3FAC" w14:textId="1B3F117B" w:rsidR="00CD5DC0" w:rsidRPr="00DC4B04" w:rsidRDefault="00DC4B04" w:rsidP="00CD5DC0">
      <w:pPr>
        <w:rPr>
          <w:rFonts w:cs="Arial"/>
        </w:rPr>
      </w:pPr>
      <w:r>
        <w:t>Les forces sont un terme général qui fait référence aux aspects positifs de la vie d</w:t>
      </w:r>
      <w:r w:rsidR="003B5177">
        <w:t>’</w:t>
      </w:r>
      <w:r>
        <w:t>une personne. Les facteurs de protection, à leur tour, sont des forces particulières qui peuvent réduire la probabilité d</w:t>
      </w:r>
      <w:r w:rsidR="003B5177">
        <w:t>’</w:t>
      </w:r>
      <w:r>
        <w:t>un comportement criminel (ou d</w:t>
      </w:r>
      <w:r w:rsidR="003B5177">
        <w:t>’</w:t>
      </w:r>
      <w:r>
        <w:t>un comportement criminel continu) en contrebalançant et en réduisant le niveau de risque global d</w:t>
      </w:r>
      <w:r w:rsidR="003B5177">
        <w:t>’</w:t>
      </w:r>
      <w:r>
        <w:t>une personne (Jones et coll., 2016). Les exemples peuvent être internes (comme les capacités d</w:t>
      </w:r>
      <w:r w:rsidR="003B5177">
        <w:t>’</w:t>
      </w:r>
      <w:r>
        <w:t xml:space="preserve">adaptation positives) ou externes (comme avoir un réseau de soutien solide et prosocial). </w:t>
      </w:r>
    </w:p>
    <w:p w14:paraId="5426AF01" w14:textId="0E258AD7" w:rsidR="00CD5DC0" w:rsidRPr="00DC4B04" w:rsidRDefault="00DC4B04" w:rsidP="00CD5DC0">
      <w:pPr>
        <w:rPr>
          <w:rFonts w:cs="Arial"/>
        </w:rPr>
      </w:pPr>
      <w:r>
        <w:t>Le présent rapport reconnaît l</w:t>
      </w:r>
      <w:r w:rsidR="003B5177">
        <w:t>’</w:t>
      </w:r>
      <w:r>
        <w:t>importance cruciale des facteurs de protection pour comprendre et réduire le risque de comportement criminel chez les jeunes. Si un jeune a un grand nombre de facteurs de risque, mais de nombreux facteurs de protection, le risque de résultats négatifs de ce jeune est réduit. Le présent rapport ne définit pas les facteurs de protection dans la vie de Tyler, car l</w:t>
      </w:r>
      <w:r w:rsidR="003B5177">
        <w:t>’</w:t>
      </w:r>
      <w:r>
        <w:t>objectif principal de l</w:t>
      </w:r>
      <w:r w:rsidR="003B5177">
        <w:t>’</w:t>
      </w:r>
      <w:r>
        <w:t>histoire de Tyler est d</w:t>
      </w:r>
      <w:r w:rsidR="003B5177">
        <w:t>’</w:t>
      </w:r>
      <w:r>
        <w:t>illustrer le fardeau écrasant de nombreux facteurs de risque et les coûts connexes. Par conséquent, l</w:t>
      </w:r>
      <w:r w:rsidR="003B5177">
        <w:t>’</w:t>
      </w:r>
      <w:r>
        <w:t>accent est mis sur les facteurs de risque dès le début.</w:t>
      </w:r>
      <w:r>
        <w:rPr>
          <w:highlight w:val="yellow"/>
        </w:rPr>
        <w:t xml:space="preserve"> </w:t>
      </w:r>
    </w:p>
    <w:p w14:paraId="6B14AD93" w14:textId="77777777" w:rsidR="00CD5DC0" w:rsidRPr="00DC4B04" w:rsidRDefault="00DC4B04" w:rsidP="00CD5DC0">
      <w:pPr>
        <w:pStyle w:val="Heading3"/>
      </w:pPr>
      <w:bookmarkStart w:id="8" w:name="_Toc206140386"/>
      <w:r>
        <w:t>Calcul des coûts</w:t>
      </w:r>
      <w:bookmarkEnd w:id="8"/>
    </w:p>
    <w:p w14:paraId="1353D60B" w14:textId="2C28DF50" w:rsidR="00CD5DC0" w:rsidRPr="00DC4B04" w:rsidRDefault="00DC4B04" w:rsidP="00CD5DC0">
      <w:r>
        <w:t>Les expériences de Tyler sont utilisées pour mettre en évidence les facteurs de risque les plus courants qui touchent les jeunes Canadiens qui se livrent à des crimes. Son histoire brosse également un tableau des coûts potentiels associés à ces expériences, allant du coût d</w:t>
      </w:r>
      <w:r w:rsidR="003B5177">
        <w:t>’</w:t>
      </w:r>
      <w:r>
        <w:t>une visite à l</w:t>
      </w:r>
      <w:r w:rsidR="003B5177">
        <w:t>’</w:t>
      </w:r>
      <w:r>
        <w:t>urgence au coût d</w:t>
      </w:r>
      <w:r w:rsidR="003B5177">
        <w:t>’</w:t>
      </w:r>
      <w:r>
        <w:t>une peine de prison fédérale.</w:t>
      </w:r>
    </w:p>
    <w:p w14:paraId="12471E5E" w14:textId="582CD8B5" w:rsidR="00CD5DC0" w:rsidRPr="00DC4B04" w:rsidRDefault="00DC4B04" w:rsidP="00CD5DC0">
      <w:pPr>
        <w:pStyle w:val="Heading4"/>
      </w:pPr>
      <w:r>
        <w:t>Justification de l</w:t>
      </w:r>
      <w:r w:rsidR="003B5177">
        <w:t>’</w:t>
      </w:r>
      <w:r>
        <w:t xml:space="preserve">établissement des coûts </w:t>
      </w:r>
    </w:p>
    <w:p w14:paraId="4D64C2BB" w14:textId="4EFA1E58" w:rsidR="00CD5DC0" w:rsidRPr="00DC4B04" w:rsidRDefault="00DC4B04" w:rsidP="00CD5DC0">
      <w:r>
        <w:t>Tyler représente un jeune qui a des démêlés avec la justice au Canada. Le rapport reflète l</w:t>
      </w:r>
      <w:r w:rsidR="003B5177">
        <w:t>’</w:t>
      </w:r>
      <w:r>
        <w:t>un des nombreux résultats possibles que connaissent couramment les jeunes ayant des démêlés avec la justice. Il met également en évidence les coûts associés à l</w:t>
      </w:r>
      <w:r w:rsidR="003B5177">
        <w:t>’</w:t>
      </w:r>
      <w:r>
        <w:t>expérience de Tyler pour aider à mieux comprendre les répercussions économiques de la criminalité sur le système socioéconomique canadien et les possibilités d</w:t>
      </w:r>
      <w:r w:rsidR="003B5177">
        <w:t>’</w:t>
      </w:r>
      <w:r>
        <w:t xml:space="preserve">économies de coûts. </w:t>
      </w:r>
    </w:p>
    <w:p w14:paraId="2D8F5DD2" w14:textId="27582336" w:rsidR="00D73121" w:rsidRPr="00DC4B04" w:rsidRDefault="00DC4B04" w:rsidP="00D73121">
      <w:r>
        <w:t>La compréhension des répercussions économiques de la criminalité permet aux chercheurs d</w:t>
      </w:r>
      <w:r w:rsidR="003B5177">
        <w:t>’</w:t>
      </w:r>
      <w:r>
        <w:t>évaluer les rapports coûts-avantages des programmes de prévention du crime. Elle aide également les décideurs à prendre des décisions éclairées sur l</w:t>
      </w:r>
      <w:r w:rsidR="003B5177">
        <w:t>’</w:t>
      </w:r>
      <w:r>
        <w:t>affectation des ressources. L</w:t>
      </w:r>
      <w:r w:rsidR="003B5177">
        <w:t>’</w:t>
      </w:r>
      <w:r>
        <w:t>établissement d</w:t>
      </w:r>
      <w:r w:rsidR="003B5177">
        <w:t>’</w:t>
      </w:r>
      <w:r>
        <w:t>un chiffre en dollars sur les coûts de la criminalité permet de comparer le fardeau financier de la criminalité à l</w:t>
      </w:r>
      <w:r w:rsidR="003B5177">
        <w:t>’</w:t>
      </w:r>
      <w:r>
        <w:t xml:space="preserve">investissement dans les programmes de prévention du crime. </w:t>
      </w:r>
    </w:p>
    <w:p w14:paraId="700F0B9E" w14:textId="1A5DBA1F" w:rsidR="00CD5DC0" w:rsidRPr="00DC4B04" w:rsidRDefault="00DC4B04" w:rsidP="00CD5DC0">
      <w:r>
        <w:t>Les estimations de coûts prises en compte dans l</w:t>
      </w:r>
      <w:r w:rsidR="003B5177">
        <w:t>’</w:t>
      </w:r>
      <w:r>
        <w:t>histoire de Tyler ne comprenaient que les coûts tangibles (directs) de la criminalité, y compris les coûts de la justice pénale, des soins de santé et des services sociaux. Les coûts intangibles (indirects) attribuables à la douleur et à la souffrance, à la diminution de la qualité de vie et à la détresse psychologique</w:t>
      </w:r>
      <w:r>
        <w:rPr>
          <w:b/>
          <w:bCs/>
        </w:rPr>
        <w:t xml:space="preserve"> n</w:t>
      </w:r>
      <w:r w:rsidR="003B5177">
        <w:rPr>
          <w:b/>
          <w:bCs/>
        </w:rPr>
        <w:t>’</w:t>
      </w:r>
      <w:r>
        <w:rPr>
          <w:b/>
          <w:bCs/>
        </w:rPr>
        <w:t xml:space="preserve">ont pas été </w:t>
      </w:r>
      <w:r>
        <w:t>inclus dans les estimations en raison d</w:t>
      </w:r>
      <w:r w:rsidR="003B5177">
        <w:t>’</w:t>
      </w:r>
      <w:r>
        <w:t>un manque de données disponibles. Tous les chiffres étaient, au mieux, une sous-estimation des coûts réels de la criminalité pour le gouvernement et la société.</w:t>
      </w:r>
    </w:p>
    <w:p w14:paraId="0C3D8D6F" w14:textId="7AAFB79F" w:rsidR="00CD5DC0" w:rsidRPr="00DC4B04" w:rsidRDefault="00DC4B04" w:rsidP="00CD5DC0">
      <w:r>
        <w:t>Les coûts tangibles associés à l</w:t>
      </w:r>
      <w:r w:rsidR="003B5177">
        <w:t>’</w:t>
      </w:r>
      <w:r>
        <w:t>histoire de Tyler étaient les suivants :</w:t>
      </w:r>
    </w:p>
    <w:p w14:paraId="3067977E" w14:textId="2BA07A1E" w:rsidR="00CD5DC0" w:rsidRPr="00DC4B04" w:rsidRDefault="00DC4B04" w:rsidP="00CD5DC0">
      <w:pPr>
        <w:numPr>
          <w:ilvl w:val="0"/>
          <w:numId w:val="4"/>
        </w:numPr>
        <w:spacing w:after="320"/>
      </w:pPr>
      <w:r>
        <w:rPr>
          <w:b/>
          <w:bCs/>
        </w:rPr>
        <w:t>Coûts du système de justice pénale</w:t>
      </w:r>
      <w:r>
        <w:t> : coûts de la prestation des services de police, des services judiciaires, des services de poursuite, de l</w:t>
      </w:r>
      <w:r w:rsidR="003B5177">
        <w:t>’</w:t>
      </w:r>
      <w:r>
        <w:t>aide juridique et des services correctionnels, ainsi que des commissions d</w:t>
      </w:r>
      <w:r w:rsidR="003B5177">
        <w:t>’</w:t>
      </w:r>
      <w:r>
        <w:t>examen du</w:t>
      </w:r>
      <w:r>
        <w:rPr>
          <w:i/>
          <w:iCs/>
        </w:rPr>
        <w:t xml:space="preserve"> Code</w:t>
      </w:r>
      <w:r>
        <w:t xml:space="preserve"> </w:t>
      </w:r>
      <w:r w:rsidRPr="00DA4F1A">
        <w:rPr>
          <w:i/>
          <w:iCs/>
        </w:rPr>
        <w:t>criminel</w:t>
      </w:r>
      <w:r w:rsidRPr="00DC4B04">
        <w:rPr>
          <w:vertAlign w:val="superscript"/>
        </w:rPr>
        <w:footnoteReference w:id="4"/>
      </w:r>
      <w:r>
        <w:t>.</w:t>
      </w:r>
    </w:p>
    <w:p w14:paraId="112B9125" w14:textId="53BFD0CB" w:rsidR="00CD5DC0" w:rsidRPr="00DC4B04" w:rsidRDefault="00DC4B04" w:rsidP="00CD5DC0">
      <w:pPr>
        <w:numPr>
          <w:ilvl w:val="0"/>
          <w:numId w:val="4"/>
        </w:numPr>
        <w:spacing w:after="320"/>
      </w:pPr>
      <w:r>
        <w:rPr>
          <w:b/>
          <w:bCs/>
        </w:rPr>
        <w:t>Services sociaux et frais médicaux</w:t>
      </w:r>
      <w:r>
        <w:t> : coûts de fonctionnement des services sociaux, du placement en famille d</w:t>
      </w:r>
      <w:r w:rsidR="003B5177">
        <w:t>’</w:t>
      </w:r>
      <w:r>
        <w:t>accueil, de l</w:t>
      </w:r>
      <w:r w:rsidR="003B5177">
        <w:t>’</w:t>
      </w:r>
      <w:r>
        <w:t>éducation spécialisée, des services psychologiques et des frais médicaux.</w:t>
      </w:r>
    </w:p>
    <w:p w14:paraId="4F6C0026" w14:textId="506A7A76" w:rsidR="00CD5DC0" w:rsidRPr="00DC4B04" w:rsidRDefault="00DC4B04" w:rsidP="00CD5DC0">
      <w:r>
        <w:t>De plus, ce rapport fait également état du calcul du coût des participants pour trois interventions afin d</w:t>
      </w:r>
      <w:r w:rsidR="003B5177">
        <w:t>’</w:t>
      </w:r>
      <w:r>
        <w:t>illustrer les économies possibles en investissant dans des programmes de prévention du crime à des moments critiques de la vie de Tyler. Ces interventions comprennent Stop, n</w:t>
      </w:r>
      <w:r w:rsidR="003B5177">
        <w:t>’</w:t>
      </w:r>
      <w:r>
        <w:t>agis pas, analyse et planifie (SNAP)</w:t>
      </w:r>
      <w:r>
        <w:rPr>
          <w:vertAlign w:val="superscript"/>
        </w:rPr>
        <w:t>®</w:t>
      </w:r>
      <w:r>
        <w:t xml:space="preserve">, le Youth Inclusion Program (YIP) et la </w:t>
      </w:r>
      <w:r w:rsidR="00DA4F1A">
        <w:t>T</w:t>
      </w:r>
      <w:r>
        <w:t>hérapie multisystémique (TMS).</w:t>
      </w:r>
    </w:p>
    <w:p w14:paraId="7D4E851F" w14:textId="340EDBE3" w:rsidR="006F7285" w:rsidRPr="00DC4B04" w:rsidRDefault="00DC4B04" w:rsidP="00C845E2">
      <w:pPr>
        <w:pStyle w:val="Heading5"/>
      </w:pPr>
      <w:r>
        <w:t>Méthode d</w:t>
      </w:r>
      <w:r w:rsidR="003B5177">
        <w:t>’</w:t>
      </w:r>
      <w:r>
        <w:t>établissement des coûts</w:t>
      </w:r>
    </w:p>
    <w:p w14:paraId="4855F5DD" w14:textId="537A4051" w:rsidR="00CD5DC0" w:rsidRPr="00DC4B04" w:rsidRDefault="00DC4B04" w:rsidP="00CD5DC0">
      <w:r>
        <w:t>Une recherche dans le Répertoire en prévention du crime (RPC), une base de données des programmes financés dans le cadre de la Stratégie nationale pour la prévention du crime (SNPC), a été effectuée pour déterminer les programmes financés qui avaient été évalués et qui comprenaient un coût par participant. La recherche initiale a révélé 13 dossiers pour SNAP® et 14 dossiers pour YIP qui ont été financés par Sécurité publique Canada entre 2008 et 2019. Parmi ces dossiers, 5 interventions SNAP® et 5 interventions YIP comprenaient des données sur le coût par participant. On utilise dans le présent rapport les données disponibles dans ces dossiers pour calculer le coût moyen par participant pour SNAP® et YIP. Le coût moyen de YIP a été calculé en fonction de 4 des 5 interventions disponibles; l</w:t>
      </w:r>
      <w:r w:rsidR="003B5177">
        <w:t>’</w:t>
      </w:r>
      <w:r>
        <w:t xml:space="preserve">intervention exclue a été considérée comme une valeur aberrante parce que son coût par participant représentait environ la moitié de la valeur des 4 autres interventions. Il y avait 0 dossier pour la TMS. Par conséquent, le coût par participant à la TMS a été fondé sur une analyse des coûts tirée du </w:t>
      </w:r>
      <w:hyperlink r:id="rId26" w:history="1">
        <w:r>
          <w:rPr>
            <w:rStyle w:val="Hyperlink"/>
          </w:rPr>
          <w:t>Sommaire d</w:t>
        </w:r>
        <w:r w:rsidR="003B5177">
          <w:rPr>
            <w:rStyle w:val="Hyperlink"/>
          </w:rPr>
          <w:t>’</w:t>
        </w:r>
        <w:r>
          <w:rPr>
            <w:rStyle w:val="Hyperlink"/>
          </w:rPr>
          <w:t>évaluation final du programme Thérapie multisystémique</w:t>
        </w:r>
      </w:hyperlink>
      <w:r>
        <w:t xml:space="preserve"> (2015), publié par Sécurité publique Canada. </w:t>
      </w:r>
    </w:p>
    <w:p w14:paraId="24C60604" w14:textId="4FB94CF9" w:rsidR="00CD5DC0" w:rsidRPr="00DC4B04" w:rsidRDefault="00DC4B04" w:rsidP="00CD5DC0">
      <w:r>
        <w:t>Les résultats de la recherche du RP</w:t>
      </w:r>
      <w:r w:rsidR="00DA4F1A">
        <w:t>C</w:t>
      </w:r>
      <w:r>
        <w:t xml:space="preserve"> ont été validés par une recherche supplémentaire dans les données administratives du programme dans le Système de gestion de l</w:t>
      </w:r>
      <w:r w:rsidR="003B5177">
        <w:t>’</w:t>
      </w:r>
      <w:r>
        <w:t>information de Sécurité publique (SGISP). Aucun autre résultat n</w:t>
      </w:r>
      <w:r w:rsidR="003B5177">
        <w:t>’</w:t>
      </w:r>
      <w:r>
        <w:t xml:space="preserve">a été trouvé. </w:t>
      </w:r>
    </w:p>
    <w:p w14:paraId="5BE17C0D" w14:textId="1B01DCCA" w:rsidR="00CD5DC0" w:rsidRPr="00DC4B04" w:rsidRDefault="00DC4B04" w:rsidP="00CD5DC0">
      <w:r>
        <w:t>Après ajustement en fonction de l</w:t>
      </w:r>
      <w:r w:rsidR="003B5177">
        <w:t>’</w:t>
      </w:r>
      <w:r>
        <w:t xml:space="preserve">inflation, les coûts moyens estimés des interventions pour les participants étaient les suivants : </w:t>
      </w:r>
    </w:p>
    <w:p w14:paraId="7460EC31" w14:textId="77777777" w:rsidR="00CD5DC0" w:rsidRPr="00DC4B04" w:rsidRDefault="00DC4B04" w:rsidP="00CD5DC0">
      <w:pPr>
        <w:numPr>
          <w:ilvl w:val="0"/>
          <w:numId w:val="6"/>
        </w:numPr>
      </w:pPr>
      <w:r>
        <w:t xml:space="preserve">20 615 $ pour SNAP® </w:t>
      </w:r>
    </w:p>
    <w:p w14:paraId="4551FC1A" w14:textId="77777777" w:rsidR="00CD5DC0" w:rsidRPr="00DC4B04" w:rsidRDefault="00DC4B04" w:rsidP="00CD5DC0">
      <w:pPr>
        <w:numPr>
          <w:ilvl w:val="0"/>
          <w:numId w:val="6"/>
        </w:numPr>
      </w:pPr>
      <w:r>
        <w:t>9 519 $ pour YIP</w:t>
      </w:r>
    </w:p>
    <w:p w14:paraId="7541454A" w14:textId="77777777" w:rsidR="00CD5DC0" w:rsidRPr="00DC4B04" w:rsidRDefault="00DC4B04" w:rsidP="00CD5DC0">
      <w:pPr>
        <w:numPr>
          <w:ilvl w:val="0"/>
          <w:numId w:val="6"/>
        </w:numPr>
        <w:spacing w:after="320"/>
      </w:pPr>
      <w:r>
        <w:t>29 745 $ pour la TMS</w:t>
      </w:r>
    </w:p>
    <w:p w14:paraId="640C0B89" w14:textId="77777777" w:rsidR="00CD5DC0" w:rsidRPr="00DC4B04" w:rsidRDefault="00DC4B04" w:rsidP="00CD5DC0">
      <w:pPr>
        <w:pStyle w:val="Heading4"/>
      </w:pPr>
      <w:bookmarkStart w:id="9" w:name="_Calculations_and_assumptions"/>
      <w:bookmarkEnd w:id="9"/>
      <w:r>
        <w:t xml:space="preserve">Calculs et hypothèses </w:t>
      </w:r>
    </w:p>
    <w:p w14:paraId="3D237716" w14:textId="12843D35" w:rsidR="00310D6C" w:rsidRPr="00DC4B04" w:rsidRDefault="00DC4B04" w:rsidP="00076506">
      <w:pPr>
        <w:pStyle w:val="Heading5"/>
      </w:pPr>
      <w:r>
        <w:t>Exercice d</w:t>
      </w:r>
      <w:r w:rsidR="003B5177">
        <w:t>’</w:t>
      </w:r>
      <w:r>
        <w:t>établissement des coûts</w:t>
      </w:r>
    </w:p>
    <w:p w14:paraId="149C6B8D" w14:textId="74573E54" w:rsidR="00D660D6" w:rsidRPr="00DC4B04" w:rsidRDefault="00DC4B04" w:rsidP="00CD5DC0">
      <w:r>
        <w:t xml:space="preserve">On utilise dans ce rapport une </w:t>
      </w:r>
      <w:r>
        <w:rPr>
          <w:b/>
          <w:bCs/>
        </w:rPr>
        <w:t>méthode d</w:t>
      </w:r>
      <w:r w:rsidR="003B5177">
        <w:rPr>
          <w:b/>
          <w:bCs/>
        </w:rPr>
        <w:t>’</w:t>
      </w:r>
      <w:r>
        <w:rPr>
          <w:b/>
          <w:bCs/>
        </w:rPr>
        <w:t>établissement des coûts de type comptable</w:t>
      </w:r>
      <w:r>
        <w:t xml:space="preserve"> pour calculer les coûts de l</w:t>
      </w:r>
      <w:r w:rsidR="003B5177">
        <w:t>’</w:t>
      </w:r>
      <w:r>
        <w:t>expérience de Tyler. Cette approche est conforme à l</w:t>
      </w:r>
      <w:r w:rsidR="003B5177">
        <w:t>’</w:t>
      </w:r>
      <w:r>
        <w:t xml:space="preserve">outil </w:t>
      </w:r>
      <w:hyperlink r:id="rId27" w:history="1">
        <w:r>
          <w:rPr>
            <w:rStyle w:val="Hyperlink"/>
          </w:rPr>
          <w:t>Guide d</w:t>
        </w:r>
        <w:r w:rsidR="003B5177">
          <w:rPr>
            <w:rStyle w:val="Hyperlink"/>
          </w:rPr>
          <w:t>’</w:t>
        </w:r>
        <w:r>
          <w:rPr>
            <w:rStyle w:val="Hyperlink"/>
          </w:rPr>
          <w:t>établissement des coûts</w:t>
        </w:r>
      </w:hyperlink>
      <w:r>
        <w:t xml:space="preserve"> du Secrétariat du Conseil du Trésor du Canada. Les événements criminogènes, les services de protection de l</w:t>
      </w:r>
      <w:r w:rsidR="003B5177">
        <w:t>’</w:t>
      </w:r>
      <w:r>
        <w:t>enfance, les soutiens éducatifs et d</w:t>
      </w:r>
      <w:r w:rsidR="003B5177">
        <w:t>’</w:t>
      </w:r>
      <w:r>
        <w:t xml:space="preserve">autres incidents prototypes durant la jeunesse de Tyler ont été attribués en dollars canadiens de 2025. </w:t>
      </w:r>
    </w:p>
    <w:p w14:paraId="4FD6AA8E" w14:textId="1888F657" w:rsidR="00CD5DC0" w:rsidRPr="00DC4B04" w:rsidRDefault="00DC4B04" w:rsidP="00CD5DC0">
      <w:r>
        <w:t>Pour estimer les coûts de ces éléments d</w:t>
      </w:r>
      <w:r w:rsidR="003B5177">
        <w:t>’</w:t>
      </w:r>
      <w:r>
        <w:t>histoire, le rapport a utilisé une technique qui a ajusté les données d</w:t>
      </w:r>
      <w:r w:rsidR="003B5177">
        <w:t>’</w:t>
      </w:r>
      <w:r>
        <w:t>études antérieures semblables pour les adapter à la situation de Tyler, en tenant compte de facteurs tels que la durée, la gravité ou la fréquence de chaque élément de coût. Lorsque des coûts semblables n</w:t>
      </w:r>
      <w:r w:rsidR="003B5177">
        <w:t>’</w:t>
      </w:r>
      <w:r>
        <w:t>étaient pas disponibles, on en a obtenu de nouveaux en faisant des recherches sur les coûts d</w:t>
      </w:r>
      <w:r w:rsidR="003B5177">
        <w:t>’</w:t>
      </w:r>
      <w:r>
        <w:t>un élément de l</w:t>
      </w:r>
      <w:r w:rsidR="003B5177">
        <w:t>’</w:t>
      </w:r>
      <w:r>
        <w:t>histoire ou en communiquant avec des experts dans le domaine (par exemple, des administrateurs scolaires, des travailleurs des services à l</w:t>
      </w:r>
      <w:r w:rsidR="003B5177">
        <w:t>’</w:t>
      </w:r>
      <w:r>
        <w:t>enfance et des fournisseurs de services psychologiques). Pour éviter les valeurs extrêmes, le rapport a utilisé des estimations prudentes. Dans la mesure du possible, les données ont été tirées de sources canadiennes et les données les plus récentes ont été classées par ordre de priorité.</w:t>
      </w:r>
    </w:p>
    <w:p w14:paraId="7959FB79" w14:textId="51F15A1D" w:rsidR="00CD5DC0" w:rsidRDefault="00DC4B04" w:rsidP="00CD5DC0">
      <w:r>
        <w:t>Le rapport estimait le coût de la prestation des services de police, des services judiciaires, des services de poursuite et des commissions d</w:t>
      </w:r>
      <w:r w:rsidR="003B5177">
        <w:t>’</w:t>
      </w:r>
      <w:r>
        <w:t xml:space="preserve">examen du </w:t>
      </w:r>
      <w:r w:rsidRPr="00DA4F1A">
        <w:rPr>
          <w:i/>
          <w:iCs/>
        </w:rPr>
        <w:t>Code criminel</w:t>
      </w:r>
      <w:r>
        <w:t>. Il a également estimé les coûts liés aux services correctionnels et aux types d</w:t>
      </w:r>
      <w:r w:rsidR="003B5177">
        <w:t>’</w:t>
      </w:r>
      <w:r>
        <w:t>infractions pour les jeunes et les adultes, respectivement. Il s</w:t>
      </w:r>
      <w:r w:rsidR="003B5177">
        <w:t>’</w:t>
      </w:r>
      <w:r>
        <w:t>agissait notamment de crimes violents, de crimes contre les biens, de vols d</w:t>
      </w:r>
      <w:r w:rsidR="003B5177">
        <w:t>’</w:t>
      </w:r>
      <w:r>
        <w:t>automobiles, d</w:t>
      </w:r>
      <w:r w:rsidR="003B5177">
        <w:t>’</w:t>
      </w:r>
      <w:r>
        <w:t xml:space="preserve">infractions liées aux drogues et </w:t>
      </w:r>
      <w:r w:rsidRPr="00D2687C">
        <w:t>d</w:t>
      </w:r>
      <w:r w:rsidR="003B5177" w:rsidRPr="00D2687C">
        <w:t>’</w:t>
      </w:r>
      <w:r w:rsidRPr="00D2687C">
        <w:t>autres infractions au</w:t>
      </w:r>
      <w:r>
        <w:rPr>
          <w:i/>
          <w:iCs/>
        </w:rPr>
        <w:t xml:space="preserve"> Code</w:t>
      </w:r>
      <w:r>
        <w:t xml:space="preserve"> </w:t>
      </w:r>
      <w:r w:rsidRPr="00D2687C">
        <w:rPr>
          <w:i/>
          <w:iCs/>
        </w:rPr>
        <w:t>criminel</w:t>
      </w:r>
      <w:r>
        <w:t>. Les coûts potentiels associés aux peines d</w:t>
      </w:r>
      <w:r w:rsidR="003B5177">
        <w:t>’</w:t>
      </w:r>
      <w:r>
        <w:t>emprisonnement de Tyler expliquaient sa trajectoire prévue dans le système de justice pénale, y compris, mais sans s</w:t>
      </w:r>
      <w:r w:rsidR="003B5177">
        <w:t>’</w:t>
      </w:r>
      <w:r>
        <w:t>y limiter, des facteurs tels que la cote de sécurité, le type et la durée de la détention et la mise en liberté dans la collectivité. Le temps passé en détention provisoire et la présence ont été présumés dans la durée totale de la peine. La trajectoire prévue de Tyler reflète les données disponibles sur les expériences moyennes d</w:t>
      </w:r>
      <w:r w:rsidR="003B5177">
        <w:t>’</w:t>
      </w:r>
      <w:r>
        <w:t xml:space="preserve">incarcération au Canada. </w:t>
      </w:r>
    </w:p>
    <w:p w14:paraId="0C1154C2" w14:textId="77777777" w:rsidR="00310D6C" w:rsidRPr="00DC4B04" w:rsidRDefault="00DC4B04" w:rsidP="00D73061">
      <w:pPr>
        <w:pStyle w:val="Heading5"/>
        <w:pageBreakBefore/>
      </w:pPr>
      <w:r>
        <w:t>Analyse coûts-avantages</w:t>
      </w:r>
    </w:p>
    <w:p w14:paraId="0FED5D70" w14:textId="3E7A30AB" w:rsidR="00CD5DC0" w:rsidRPr="00DC4B04" w:rsidRDefault="00DC4B04" w:rsidP="00CD5DC0">
      <w:r>
        <w:t>À l</w:t>
      </w:r>
      <w:r w:rsidR="003B5177">
        <w:t>’</w:t>
      </w:r>
      <w:r>
        <w:t>aide des coûts tangibles associés à l</w:t>
      </w:r>
      <w:r w:rsidR="003B5177">
        <w:t>’</w:t>
      </w:r>
      <w:r>
        <w:t xml:space="preserve">histoire de Tyler et des coûts des interventions pour les participants, une </w:t>
      </w:r>
      <w:r>
        <w:rPr>
          <w:b/>
          <w:bCs/>
        </w:rPr>
        <w:t>analyse coûts-avantages</w:t>
      </w:r>
      <w:r>
        <w:t xml:space="preserve"> (Jayaratne, 2013; McIntosh et Li, 2012; Stobierski, 2013) a estimé les économies potentielles si les interventions avaient été réalisées à diverses périodes de la vie de Tyler. L</w:t>
      </w:r>
      <w:r w:rsidR="003B5177">
        <w:t>’</w:t>
      </w:r>
      <w:r>
        <w:t>analyse s</w:t>
      </w:r>
      <w:r w:rsidR="003B5177">
        <w:t>’</w:t>
      </w:r>
      <w:r>
        <w:t>est déroulée en trois étapes :</w:t>
      </w:r>
    </w:p>
    <w:p w14:paraId="202645B1" w14:textId="3A3B6EFE" w:rsidR="00CD5DC0" w:rsidRPr="00DC4B04" w:rsidRDefault="00DC4B04" w:rsidP="00F1601D">
      <w:pPr>
        <w:numPr>
          <w:ilvl w:val="0"/>
          <w:numId w:val="17"/>
        </w:numPr>
        <w:spacing w:after="320"/>
      </w:pPr>
      <w:r>
        <w:rPr>
          <w:b/>
          <w:bCs/>
        </w:rPr>
        <w:t>Coût estimé pour chaque période de la vie</w:t>
      </w:r>
      <w:r>
        <w:t> : Les interventions proposées dans l</w:t>
      </w:r>
      <w:r w:rsidR="003B5177">
        <w:t>’</w:t>
      </w:r>
      <w:r>
        <w:t>histoire de Tyler auraient eu lieu à trois périodes de la vie, soit 10, 13 et 17 ans. Les coûts estimatifs que Tyler aurait engagés à chacune de ces périodes de vie ont été calculés en trouvant la somme de tous les coûts (y compris le système de justice pénale direct, les services sociaux et les frais médicaux de Tyler) de sa vie jusqu</w:t>
      </w:r>
      <w:r w:rsidR="003B5177">
        <w:t>’</w:t>
      </w:r>
      <w:r>
        <w:t>à ce moment de l</w:t>
      </w:r>
      <w:r w:rsidR="003B5177">
        <w:t>’</w:t>
      </w:r>
      <w:r>
        <w:t xml:space="preserve">histoire. </w:t>
      </w:r>
    </w:p>
    <w:p w14:paraId="774C4D05" w14:textId="37E514C8" w:rsidR="00CD5DC0" w:rsidRPr="00DC4B04" w:rsidRDefault="00DC4B04" w:rsidP="00F1601D">
      <w:pPr>
        <w:numPr>
          <w:ilvl w:val="0"/>
          <w:numId w:val="17"/>
        </w:numPr>
        <w:spacing w:after="320"/>
      </w:pPr>
      <w:r>
        <w:rPr>
          <w:b/>
          <w:bCs/>
        </w:rPr>
        <w:t>Coûts économisés calculés</w:t>
      </w:r>
      <w:r>
        <w:t> : Les coûts économisés représentent les coûts qui auraient probablement été économisés après chaque période de vie s</w:t>
      </w:r>
      <w:r w:rsidR="003B5177">
        <w:t>’</w:t>
      </w:r>
      <w:r>
        <w:t>il n</w:t>
      </w:r>
      <w:r w:rsidR="003B5177">
        <w:t>’</w:t>
      </w:r>
      <w:r>
        <w:t>avait pas subi d</w:t>
      </w:r>
      <w:r w:rsidR="003B5177">
        <w:t>’</w:t>
      </w:r>
      <w:r>
        <w:t>intervention, moins le coût de l</w:t>
      </w:r>
      <w:r w:rsidR="003B5177">
        <w:t>’</w:t>
      </w:r>
      <w:r>
        <w:t>intervention elle-même. Par exemple, si Tyler avait participé au SNAP® à l</w:t>
      </w:r>
      <w:r w:rsidR="003B5177">
        <w:t>’</w:t>
      </w:r>
      <w:r>
        <w:t>âge de 10 ans, les coûts économisés incluraient toutes les dépenses survenues après l</w:t>
      </w:r>
      <w:r w:rsidR="003B5177">
        <w:t>’</w:t>
      </w:r>
      <w:r>
        <w:t>âge de 10 ans dans son histoire, moins le coût du SNAP®. Les coûts économisés avec chaque intervention ont été estimés à l</w:t>
      </w:r>
      <w:r w:rsidR="003B5177">
        <w:t>’</w:t>
      </w:r>
      <w:r>
        <w:t xml:space="preserve">aide de la formule suivante, où </w:t>
      </w:r>
      <w:r>
        <w:rPr>
          <w:i/>
          <w:iCs/>
        </w:rPr>
        <w:t>j</w:t>
      </w:r>
      <w:r>
        <w:t xml:space="preserve"> représente la période de vie (comme l</w:t>
      </w:r>
      <w:r w:rsidR="003B5177">
        <w:t>’</w:t>
      </w:r>
      <w:r>
        <w:t>âge) au cours de laquelle Tyler aurait pu subir l</w:t>
      </w:r>
      <w:r w:rsidR="003B5177">
        <w:t>’</w:t>
      </w:r>
      <w:r>
        <w:t xml:space="preserve">intervention, et où </w:t>
      </w:r>
      <w:r>
        <w:rPr>
          <w:i/>
          <w:iCs/>
        </w:rPr>
        <w:t xml:space="preserve">i </w:t>
      </w:r>
      <w:r>
        <w:t>représente le type d</w:t>
      </w:r>
      <w:r w:rsidR="003B5177">
        <w:t>’</w:t>
      </w:r>
      <w:r>
        <w:t>intervention (par exemple, SNAP®, YIP ou TMS) :</w:t>
      </w:r>
    </w:p>
    <w:p w14:paraId="4533C216" w14:textId="418F4DEC" w:rsidR="00CD5DC0" w:rsidRPr="00DC4B04" w:rsidRDefault="00DC4B04" w:rsidP="00CD5DC0">
      <w:pPr>
        <w:jc w:val="center"/>
      </w:pPr>
      <w:r>
        <w:t xml:space="preserve">Coûts économisés = somme des dépenses de Tyler après période de vie </w:t>
      </w:r>
      <w:r>
        <w:rPr>
          <w:i/>
          <w:iCs/>
        </w:rPr>
        <w:t>j</w:t>
      </w:r>
      <w:r>
        <w:t xml:space="preserve"> </w:t>
      </w:r>
      <w:r w:rsidRPr="00BC1B61">
        <w:t>–</w:t>
      </w:r>
      <w:r>
        <w:t xml:space="preserve"> le coût de l</w:t>
      </w:r>
      <w:r w:rsidR="003B5177">
        <w:t>’</w:t>
      </w:r>
      <w:r>
        <w:t xml:space="preserve">intervention </w:t>
      </w:r>
      <w:r>
        <w:rPr>
          <w:i/>
          <w:iCs/>
        </w:rPr>
        <w:t>i</w:t>
      </w:r>
    </w:p>
    <w:p w14:paraId="6DA996D6" w14:textId="2261B4FA" w:rsidR="00CD5DC0" w:rsidRPr="00DC4B04" w:rsidRDefault="00DC4B04" w:rsidP="00F1601D">
      <w:pPr>
        <w:numPr>
          <w:ilvl w:val="0"/>
          <w:numId w:val="18"/>
        </w:numPr>
        <w:spacing w:before="240" w:after="320"/>
      </w:pPr>
      <w:r>
        <w:rPr>
          <w:b/>
          <w:bCs/>
        </w:rPr>
        <w:t>Détermination du rapport coûts-avantages</w:t>
      </w:r>
      <w:r>
        <w:t xml:space="preserve"> : Un rapport coûts-avantages a été calculé pour représenter le montant économisé compte tenu de chaque dollar dépensé pour une intervention pour Tyler. À cette fin, la somme des frais que Tyler aurait engagés après la période de sa vie </w:t>
      </w:r>
      <w:r>
        <w:rPr>
          <w:i/>
          <w:iCs/>
        </w:rPr>
        <w:t>j</w:t>
      </w:r>
      <w:r>
        <w:t xml:space="preserve"> s</w:t>
      </w:r>
      <w:r w:rsidR="003B5177">
        <w:t>’</w:t>
      </w:r>
      <w:r>
        <w:t>il n</w:t>
      </w:r>
      <w:r w:rsidR="003B5177">
        <w:t>’</w:t>
      </w:r>
      <w:r>
        <w:t>avait pas subi une intervention a été divisée par le coût de l</w:t>
      </w:r>
      <w:r w:rsidR="003B5177">
        <w:t>’</w:t>
      </w:r>
      <w:r>
        <w:t xml:space="preserve">intervention </w:t>
      </w:r>
      <w:r>
        <w:rPr>
          <w:i/>
          <w:iCs/>
        </w:rPr>
        <w:t>i</w:t>
      </w:r>
      <w:r>
        <w:t>. La formule est la suivante :</w:t>
      </w:r>
    </w:p>
    <w:p w14:paraId="1E0C8F92" w14:textId="4CDB9EA4" w:rsidR="00CD5DC0" w:rsidRPr="00DC4B04" w:rsidRDefault="00DC4B04" w:rsidP="00CD5DC0">
      <w:pPr>
        <w:spacing w:before="240"/>
        <w:jc w:val="center"/>
      </w:pPr>
      <w:r>
        <w:t xml:space="preserve">Rapport coûts-avantages = somme des dépenses de Tyler après la période de </w:t>
      </w:r>
      <w:r w:rsidRPr="00BC1B61">
        <w:t xml:space="preserve">vie </w:t>
      </w:r>
      <w:r w:rsidRPr="00BC1B61">
        <w:rPr>
          <w:i/>
          <w:iCs/>
        </w:rPr>
        <w:t>j</w:t>
      </w:r>
      <w:r w:rsidR="00E27EEA" w:rsidRPr="00BC1B61">
        <w:rPr>
          <w:i/>
          <w:iCs/>
        </w:rPr>
        <w:t xml:space="preserve"> </w:t>
      </w:r>
      <w:r w:rsidRPr="00BC1B61">
        <w:t>/</w:t>
      </w:r>
      <w:r w:rsidR="00F1601D" w:rsidRPr="00BC1B61">
        <w:t xml:space="preserve"> </w:t>
      </w:r>
      <w:r w:rsidRPr="00BC1B61">
        <w:t>coût</w:t>
      </w:r>
      <w:r>
        <w:t xml:space="preserve"> de l</w:t>
      </w:r>
      <w:r w:rsidR="003B5177">
        <w:t>’</w:t>
      </w:r>
      <w:r>
        <w:t xml:space="preserve">intervention </w:t>
      </w:r>
      <w:r>
        <w:rPr>
          <w:i/>
          <w:iCs/>
        </w:rPr>
        <w:t>i</w:t>
      </w:r>
    </w:p>
    <w:p w14:paraId="62ECA961" w14:textId="26367F75" w:rsidR="00CD5DC0" w:rsidRPr="00DC4B04" w:rsidRDefault="00DC4B04" w:rsidP="00CD5DC0">
      <w:r>
        <w:t>Un rapport coûts-avantages peut indiquer un gain, une perte ou une égalité. Un ratio de 1 indique que les coûts et les avantages sont égaux. Un ratio supérieur à 1 indique que les avantages dépassent les coûts, tandis qu</w:t>
      </w:r>
      <w:r w:rsidR="003B5177">
        <w:t>’</w:t>
      </w:r>
      <w:r>
        <w:t>un ratio inférieur à 1 indique que les coûts dépassent les avantages</w:t>
      </w:r>
      <w:r w:rsidR="00A363BF">
        <w:t xml:space="preserve">. </w:t>
      </w:r>
    </w:p>
    <w:p w14:paraId="2C2AEA2C" w14:textId="6FAD72A8" w:rsidR="00CD5DC0" w:rsidRPr="00DC4B04" w:rsidRDefault="00DC4B04" w:rsidP="00CD5DC0">
      <w:pPr>
        <w:pStyle w:val="Heading5"/>
      </w:pPr>
      <w:r>
        <w:t>Calculs de l</w:t>
      </w:r>
      <w:r w:rsidR="003B5177">
        <w:t>’</w:t>
      </w:r>
      <w:r>
        <w:t>inflation</w:t>
      </w:r>
    </w:p>
    <w:p w14:paraId="05665E19" w14:textId="48A30FA4" w:rsidR="00CD5DC0" w:rsidRPr="00DC4B04" w:rsidRDefault="00DC4B04" w:rsidP="00CD5DC0">
      <w:r>
        <w:t>Tous les coûts (tels que les coûts de la criminalité et les coûts d</w:t>
      </w:r>
      <w:r w:rsidR="003B5177">
        <w:t>’</w:t>
      </w:r>
      <w:r>
        <w:t>intervention) ont été rajustés en dollars canadiens de 2025 (en date d</w:t>
      </w:r>
      <w:r w:rsidR="003B5177">
        <w:t>’</w:t>
      </w:r>
      <w:r>
        <w:t>avril 2025) à l</w:t>
      </w:r>
      <w:r w:rsidR="003B5177">
        <w:t>’</w:t>
      </w:r>
      <w:r>
        <w:t xml:space="preserve">aide de la </w:t>
      </w:r>
      <w:hyperlink r:id="rId28" w:history="1">
        <w:r>
          <w:rPr>
            <w:rStyle w:val="Hyperlink"/>
          </w:rPr>
          <w:t>Feuille de calcul de l</w:t>
        </w:r>
        <w:r w:rsidR="003B5177">
          <w:rPr>
            <w:rStyle w:val="Hyperlink"/>
          </w:rPr>
          <w:t>’</w:t>
        </w:r>
        <w:r>
          <w:rPr>
            <w:rStyle w:val="Hyperlink"/>
          </w:rPr>
          <w:t>inflation de la Banque du Canada</w:t>
        </w:r>
      </w:hyperlink>
      <w:r>
        <w:t>. Cette feuille de calcul a utilisé les données mensuelles de l</w:t>
      </w:r>
      <w:r w:rsidR="003B5177">
        <w:t>’</w:t>
      </w:r>
      <w:r>
        <w:t>indice des prix à la consommation de 1914 à aujourd</w:t>
      </w:r>
      <w:r w:rsidR="003B5177">
        <w:t>’</w:t>
      </w:r>
      <w:r>
        <w:t>hui pour montrer les variations du coût d</w:t>
      </w:r>
      <w:r w:rsidR="003B5177">
        <w:t>’</w:t>
      </w:r>
      <w:r>
        <w:t>un « panier » fixe d</w:t>
      </w:r>
      <w:r w:rsidR="003B5177">
        <w:t>’</w:t>
      </w:r>
      <w:r>
        <w:t>achats de consommation. Ce rapport reconnaît que l</w:t>
      </w:r>
      <w:r w:rsidR="003B5177">
        <w:t>’</w:t>
      </w:r>
      <w:r>
        <w:t>indice des prix à la consommation n</w:t>
      </w:r>
      <w:r w:rsidR="003B5177">
        <w:t>’</w:t>
      </w:r>
      <w:r>
        <w:t>est pas un véritable indice du coût de la vie et qu</w:t>
      </w:r>
      <w:r w:rsidR="003B5177">
        <w:t>’</w:t>
      </w:r>
      <w:r>
        <w:t xml:space="preserve">il est donc sujet à un biais de mesure. </w:t>
      </w:r>
    </w:p>
    <w:p w14:paraId="43349CD4" w14:textId="77777777" w:rsidR="00CD5DC0" w:rsidRPr="00DC4B04" w:rsidRDefault="00DC4B04" w:rsidP="00C845E2">
      <w:pPr>
        <w:pStyle w:val="Heading4"/>
      </w:pPr>
      <w:r>
        <w:t>Limites</w:t>
      </w:r>
    </w:p>
    <w:p w14:paraId="54715040" w14:textId="77777777" w:rsidR="00CD5DC0" w:rsidRPr="00DC4B04" w:rsidRDefault="00DC4B04" w:rsidP="00C845E2">
      <w:pPr>
        <w:pStyle w:val="Heading5"/>
      </w:pPr>
      <w:r>
        <w:t>Limites des données</w:t>
      </w:r>
    </w:p>
    <w:p w14:paraId="1A207BEC" w14:textId="65D76F2C" w:rsidR="00CD5DC0" w:rsidRPr="00DC4B04" w:rsidRDefault="00DC4B04" w:rsidP="00D97FE7">
      <w:r>
        <w:t>Les limites des données sont le plus grand défi dans les études d</w:t>
      </w:r>
      <w:r w:rsidR="003B5177">
        <w:t>’</w:t>
      </w:r>
      <w:r>
        <w:t>établissement des coûts (Li, 2023). Le manque de données accessibles au public dans tous les sujets et les administrations limite les possibilités et l</w:t>
      </w:r>
      <w:r w:rsidR="003B5177">
        <w:t>’</w:t>
      </w:r>
      <w:r>
        <w:t>exactitude du calcul des coûts. Par exemple, bien que des estimations nationales soient produites dans la mesure du possible, dans certains cas, les données n</w:t>
      </w:r>
      <w:r w:rsidR="003B5177">
        <w:t>’</w:t>
      </w:r>
      <w:r>
        <w:t xml:space="preserve">étaient pas disponibles pour toutes les provinces et tous les territoires. </w:t>
      </w:r>
    </w:p>
    <w:p w14:paraId="7C55FACB" w14:textId="77777777" w:rsidR="00D73061" w:rsidRDefault="00D73061" w:rsidP="00D97FE7"/>
    <w:p w14:paraId="6B3EC9F3" w14:textId="364B284E" w:rsidR="00CD5DC0" w:rsidRPr="00DC4B04" w:rsidRDefault="00DC4B04" w:rsidP="00D97FE7">
      <w:r>
        <w:t>L</w:t>
      </w:r>
      <w:r w:rsidR="003B5177">
        <w:t>’</w:t>
      </w:r>
      <w:r>
        <w:t>une des limites du rapport est l</w:t>
      </w:r>
      <w:r w:rsidR="003B5177">
        <w:t>’</w:t>
      </w:r>
      <w:r>
        <w:t>absence de recherches actuelles sur des éléments précis d</w:t>
      </w:r>
      <w:r w:rsidR="003B5177">
        <w:t>’</w:t>
      </w:r>
      <w:r>
        <w:t>établissement des coûts. Des exemples de ces éléments d</w:t>
      </w:r>
      <w:r w:rsidR="003B5177">
        <w:t>’</w:t>
      </w:r>
      <w:r>
        <w:t>établissement des coûts comprennent les types d</w:t>
      </w:r>
      <w:r w:rsidR="003B5177">
        <w:t>’</w:t>
      </w:r>
      <w:r>
        <w:t>infractions (par exemple, le vol de moins de 5 000 $, les dommages matériels), les appels de service de la police et les données des tribunaux (comme les comparutions).</w:t>
      </w:r>
    </w:p>
    <w:p w14:paraId="62D6587A" w14:textId="7EBBA5F1" w:rsidR="00310D6C" w:rsidRPr="00DC4B04" w:rsidRDefault="00DC4B04" w:rsidP="00D97FE7">
      <w:r>
        <w:t>Bien que les analyses coûts-avantages aient pu révéler des économies plus importantes pour une intervention qu</w:t>
      </w:r>
      <w:r w:rsidR="003B5177">
        <w:t>’</w:t>
      </w:r>
      <w:r>
        <w:t>une autre (comme YIP plutôt que la TMS), il s</w:t>
      </w:r>
      <w:r w:rsidR="003B5177">
        <w:t>’</w:t>
      </w:r>
      <w:r>
        <w:t>agit d</w:t>
      </w:r>
      <w:r w:rsidR="003B5177">
        <w:t>’</w:t>
      </w:r>
      <w:r>
        <w:t>estimations du meilleur scénario qui supposent que l</w:t>
      </w:r>
      <w:r w:rsidR="003B5177">
        <w:t>’</w:t>
      </w:r>
      <w:r>
        <w:t>intervention a été complètement efficace et que Tyler a cessé tout comportement criminel futur après le traitement. En réalité, il est possible que le programme ne soit pas entièrement efficace et que Tyler poursuive une partie de ses activités criminelles après l</w:t>
      </w:r>
      <w:r w:rsidR="003B5177">
        <w:t>’</w:t>
      </w:r>
      <w:r>
        <w:t xml:space="preserve">intervention. </w:t>
      </w:r>
    </w:p>
    <w:p w14:paraId="540D1B0F" w14:textId="7837086C" w:rsidR="00CD5DC0" w:rsidRPr="00DC4B04" w:rsidRDefault="00DC4B04" w:rsidP="00D97FE7">
      <w:r>
        <w:t>Les évaluations de ces programmes qui évaluent la délinquance et le comportement criminel avant et après la mise en œuvre de l</w:t>
      </w:r>
      <w:r w:rsidR="003B5177">
        <w:t>’</w:t>
      </w:r>
      <w:r>
        <w:t>intervention comparent les changements dans le comportement criminel avec les changements observés dans d</w:t>
      </w:r>
      <w:r w:rsidR="003B5177">
        <w:t>’</w:t>
      </w:r>
      <w:r>
        <w:t>autres types d</w:t>
      </w:r>
      <w:r w:rsidR="003B5177">
        <w:t>’</w:t>
      </w:r>
      <w:r>
        <w:t>interventions. Cette recherche a démontré que ces interventions réduisent le nombre de jeunes qui se livrent à d</w:t>
      </w:r>
      <w:r w:rsidR="003B5177">
        <w:t>’</w:t>
      </w:r>
      <w:r>
        <w:t>autres comportements criminels après l</w:t>
      </w:r>
      <w:r w:rsidR="003B5177">
        <w:t>’</w:t>
      </w:r>
      <w:r>
        <w:t>intervention. Pourtant, il y a presque toujours une partie des participants à l</w:t>
      </w:r>
      <w:r w:rsidR="003B5177">
        <w:t>’</w:t>
      </w:r>
      <w:r>
        <w:t>intervention qui poursuivent leurs activités criminelles après l</w:t>
      </w:r>
      <w:r w:rsidR="003B5177">
        <w:t>’</w:t>
      </w:r>
      <w:r>
        <w:t xml:space="preserve">intervention (Burke et Loeber, 2016; Laliberte, 2015; Sécurité publique Canada, 2021; </w:t>
      </w:r>
      <w:r w:rsidR="00D93187">
        <w:t>v</w:t>
      </w:r>
      <w:r>
        <w:t xml:space="preserve">an der Stouwe et coll., 2014). Par conséquent, </w:t>
      </w:r>
      <w:r>
        <w:rPr>
          <w:b/>
          <w:bCs/>
        </w:rPr>
        <w:t>ces estimations des économies de coûts n</w:t>
      </w:r>
      <w:r w:rsidR="003B5177">
        <w:rPr>
          <w:b/>
          <w:bCs/>
        </w:rPr>
        <w:t>’</w:t>
      </w:r>
      <w:r>
        <w:rPr>
          <w:b/>
          <w:bCs/>
        </w:rPr>
        <w:t>offrent qu</w:t>
      </w:r>
      <w:r w:rsidR="003B5177">
        <w:rPr>
          <w:b/>
          <w:bCs/>
        </w:rPr>
        <w:t>’</w:t>
      </w:r>
      <w:r>
        <w:rPr>
          <w:b/>
          <w:bCs/>
        </w:rPr>
        <w:t>une meilleure illustration des économies potentielles si Tyler avait reçu l</w:t>
      </w:r>
      <w:r w:rsidR="003B5177">
        <w:rPr>
          <w:b/>
          <w:bCs/>
        </w:rPr>
        <w:t>’</w:t>
      </w:r>
      <w:r>
        <w:rPr>
          <w:b/>
          <w:bCs/>
        </w:rPr>
        <w:t>intervention appropriée et efficace, et avait cessé tout autre comportement criminel</w:t>
      </w:r>
      <w:r>
        <w:t xml:space="preserve">. </w:t>
      </w:r>
    </w:p>
    <w:p w14:paraId="15D3E704" w14:textId="77777777" w:rsidR="00E75AC5" w:rsidRPr="00DC4B04" w:rsidRDefault="00DC4B04" w:rsidP="00C845E2">
      <w:pPr>
        <w:pStyle w:val="Heading5"/>
      </w:pPr>
      <w:r>
        <w:t>Coûts intangibles de la criminalité</w:t>
      </w:r>
    </w:p>
    <w:p w14:paraId="7D5252C0" w14:textId="5D5F5F24" w:rsidR="00E75AC5" w:rsidRPr="00DC4B04" w:rsidRDefault="00DC4B04" w:rsidP="00E75AC5">
      <w:r>
        <w:t>Comme nous l</w:t>
      </w:r>
      <w:r w:rsidR="003B5177">
        <w:t>’</w:t>
      </w:r>
      <w:r>
        <w:t>avons mentionné précédemment, les coûts intangibles de la criminalité, tels que la détresse émotionnelle et la perte de qualité de vie, sont exclus de cette itération de l</w:t>
      </w:r>
      <w:r w:rsidR="003B5177">
        <w:t>’</w:t>
      </w:r>
      <w:r>
        <w:t>histoire de Tyler. Cela est en grande partie dû à la difficulté de mesurer avec précision ces éléments subjectifs. L</w:t>
      </w:r>
      <w:r w:rsidR="003B5177">
        <w:t>’</w:t>
      </w:r>
      <w:r>
        <w:t>incohérence des estimations et la complexité qu</w:t>
      </w:r>
      <w:r w:rsidR="003B5177">
        <w:t>’</w:t>
      </w:r>
      <w:r>
        <w:t>elles ajoutent à l</w:t>
      </w:r>
      <w:r w:rsidR="003B5177">
        <w:t>’</w:t>
      </w:r>
      <w:r>
        <w:t>analyse peuvent mener à des résultats peu fiables. En mettant l</w:t>
      </w:r>
      <w:r w:rsidR="003B5177">
        <w:t>’</w:t>
      </w:r>
      <w:r>
        <w:t>accent sur les coûts tangibles, le rapport assure plus de clarté et d</w:t>
      </w:r>
      <w:r w:rsidR="003B5177">
        <w:t>’</w:t>
      </w:r>
      <w:r>
        <w:t>informations exploitables pour les décideurs.</w:t>
      </w:r>
    </w:p>
    <w:p w14:paraId="5A3D88D5" w14:textId="77777777" w:rsidR="00CD5DC0" w:rsidRPr="00DC4B04" w:rsidRDefault="00DC4B04" w:rsidP="00CD5DC0">
      <w:pPr>
        <w:pStyle w:val="Heading2"/>
      </w:pPr>
      <w:bookmarkStart w:id="10" w:name="_Toc206140387"/>
      <w:r>
        <w:t>Conclusion</w:t>
      </w:r>
      <w:bookmarkEnd w:id="10"/>
    </w:p>
    <w:p w14:paraId="05B7419A" w14:textId="3F7C64F0" w:rsidR="00CD5DC0" w:rsidRPr="00DC4B04" w:rsidRDefault="00DC4B04" w:rsidP="00CD5DC0">
      <w:r>
        <w:t>En résumé, ce document de complément méthodologique fournit un aperçu détaillé des cadres directeurs, des hypothèses clés et des calculs qui éclairent l</w:t>
      </w:r>
      <w:r w:rsidR="003B5177">
        <w:t>’</w:t>
      </w:r>
      <w:r>
        <w:t>histoire de Tyler. En examinant plus en profondeur l</w:t>
      </w:r>
      <w:r w:rsidR="003B5177">
        <w:t>’</w:t>
      </w:r>
      <w:r>
        <w:t>interdépendance des facteurs de risque développementaux et criminogènes dans l</w:t>
      </w:r>
      <w:r w:rsidR="003B5177">
        <w:t>’</w:t>
      </w:r>
      <w:r>
        <w:t>apparition du comportement criminel et du traitement, ce guide améliore la compréhension du lecteur sur le « pourquoi » et le « comment » les jeunes au Canada peuvent avoir des démêlés avec la justice. De plus, en précisant l</w:t>
      </w:r>
      <w:r w:rsidR="003B5177">
        <w:t>’</w:t>
      </w:r>
      <w:r>
        <w:t>analyse du coût de la criminalité, il met en évidence les répercussions financières du comportement criminel dans son ensemble. Ce document complémentaire, ainsi que le rapport sur l</w:t>
      </w:r>
      <w:r w:rsidR="003B5177">
        <w:t>’</w:t>
      </w:r>
      <w:r>
        <w:t>histoire de Tyler, contribuent à la conversation plus large sur la valeur des investissements dans des programmes précoces et efficaces de prévention du crime pour les jeunes à risque.</w:t>
      </w:r>
    </w:p>
    <w:p w14:paraId="625C6BD6" w14:textId="77777777" w:rsidR="00CD5DC0" w:rsidRPr="00DC4B04" w:rsidRDefault="00DC4B04" w:rsidP="00CD5DC0">
      <w:pPr>
        <w:spacing w:after="160" w:line="259" w:lineRule="auto"/>
        <w:rPr>
          <w:rFonts w:ascii="Aptos Display" w:eastAsiaTheme="majorEastAsia" w:hAnsi="Aptos Display" w:cstheme="majorBidi"/>
          <w:sz w:val="40"/>
          <w:szCs w:val="26"/>
        </w:rPr>
      </w:pPr>
      <w:r>
        <w:br w:type="page"/>
      </w:r>
    </w:p>
    <w:p w14:paraId="0EA1E81B" w14:textId="77777777" w:rsidR="00CD5DC0" w:rsidRPr="00DC4B04" w:rsidRDefault="00DC4B04" w:rsidP="00CD5DC0">
      <w:pPr>
        <w:pStyle w:val="Heading2"/>
      </w:pPr>
      <w:bookmarkStart w:id="11" w:name="_Toc206140388"/>
      <w:r>
        <w:t>Annexe A : Estimations des coûts</w:t>
      </w:r>
      <w:bookmarkEnd w:id="11"/>
      <w:r>
        <w:t xml:space="preserve"> </w:t>
      </w:r>
    </w:p>
    <w:p w14:paraId="745214D8" w14:textId="1A54FC3F" w:rsidR="00CD5DC0" w:rsidRPr="00DC4B04" w:rsidRDefault="00DC4B04" w:rsidP="00CD5DC0">
      <w:pPr>
        <w:pStyle w:val="Caption"/>
        <w:keepNext/>
        <w:rPr>
          <w:sz w:val="24"/>
          <w:szCs w:val="24"/>
        </w:rPr>
      </w:pPr>
      <w:r>
        <w:rPr>
          <w:sz w:val="24"/>
          <w:szCs w:val="24"/>
        </w:rPr>
        <w:t xml:space="preserve">Tableau </w:t>
      </w:r>
      <w:r w:rsidRPr="00DC4B04">
        <w:rPr>
          <w:sz w:val="24"/>
          <w:szCs w:val="24"/>
        </w:rPr>
        <w:fldChar w:fldCharType="begin"/>
      </w:r>
      <w:r w:rsidRPr="00DC4B04">
        <w:rPr>
          <w:sz w:val="24"/>
          <w:szCs w:val="24"/>
        </w:rPr>
        <w:instrText xml:space="preserve"> SEQ Table \* ARABIC </w:instrText>
      </w:r>
      <w:r w:rsidRPr="00DC4B04">
        <w:rPr>
          <w:sz w:val="24"/>
          <w:szCs w:val="24"/>
        </w:rPr>
        <w:fldChar w:fldCharType="separate"/>
      </w:r>
      <w:r w:rsidR="00784C8F">
        <w:rPr>
          <w:noProof/>
          <w:sz w:val="24"/>
          <w:szCs w:val="24"/>
        </w:rPr>
        <w:t>1</w:t>
      </w:r>
      <w:r w:rsidRPr="00DC4B04">
        <w:rPr>
          <w:sz w:val="24"/>
          <w:szCs w:val="24"/>
        </w:rPr>
        <w:fldChar w:fldCharType="end"/>
      </w:r>
      <w:r>
        <w:rPr>
          <w:sz w:val="24"/>
          <w:szCs w:val="24"/>
        </w:rPr>
        <w:t> : Coûts des postes pour 0 à 2 ans</w:t>
      </w:r>
    </w:p>
    <w:tbl>
      <w:tblPr>
        <w:tblStyle w:val="RD"/>
        <w:tblW w:w="0" w:type="auto"/>
        <w:tblLook w:val="04A0" w:firstRow="1" w:lastRow="0" w:firstColumn="1" w:lastColumn="0" w:noHBand="0" w:noVBand="1"/>
      </w:tblPr>
      <w:tblGrid>
        <w:gridCol w:w="5935"/>
        <w:gridCol w:w="3415"/>
      </w:tblGrid>
      <w:tr w:rsidR="004976DD" w:rsidRPr="00DC4B04" w14:paraId="1BD94FFA" w14:textId="77777777" w:rsidTr="004976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0BF695C9" w14:textId="77777777" w:rsidR="00CD5DC0" w:rsidRPr="00DC4B04" w:rsidRDefault="00DC4B04" w:rsidP="007314DE">
            <w:pPr>
              <w:spacing w:after="0" w:line="240" w:lineRule="auto"/>
              <w:rPr>
                <w:sz w:val="24"/>
                <w:szCs w:val="24"/>
              </w:rPr>
            </w:pPr>
            <w:bookmarkStart w:id="12" w:name="_Hlk201322269"/>
            <w:r>
              <w:rPr>
                <w:sz w:val="24"/>
                <w:szCs w:val="24"/>
              </w:rPr>
              <w:t>Poste</w:t>
            </w:r>
          </w:p>
        </w:tc>
        <w:tc>
          <w:tcPr>
            <w:tcW w:w="3415" w:type="dxa"/>
          </w:tcPr>
          <w:p w14:paraId="739AFC98" w14:textId="0659745D" w:rsidR="00CD5DC0" w:rsidRPr="00DC4B04" w:rsidRDefault="00DC4B04" w:rsidP="00C36E2F">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Coût total calculé</w:t>
            </w:r>
            <w:r w:rsidR="00D73061">
              <w:rPr>
                <w:sz w:val="24"/>
                <w:szCs w:val="24"/>
              </w:rPr>
              <w:t xml:space="preserve"> </w:t>
            </w:r>
            <w:r>
              <w:rPr>
                <w:sz w:val="24"/>
                <w:szCs w:val="24"/>
              </w:rPr>
              <w:t>(en dollars canadiens de 2025)</w:t>
            </w:r>
          </w:p>
        </w:tc>
      </w:tr>
      <w:tr w:rsidR="004976DD" w:rsidRPr="00DC4B04" w14:paraId="532C3D46"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7ADDEDED" w14:textId="77777777" w:rsidR="00234758" w:rsidRPr="00DC4B04" w:rsidRDefault="00DC4B04" w:rsidP="007314DE">
            <w:pPr>
              <w:spacing w:after="0" w:line="240" w:lineRule="auto"/>
              <w:rPr>
                <w:sz w:val="24"/>
                <w:szCs w:val="24"/>
              </w:rPr>
            </w:pPr>
            <w:r>
              <w:rPr>
                <w:sz w:val="24"/>
                <w:szCs w:val="24"/>
              </w:rPr>
              <w:t>Appel de service de la police</w:t>
            </w:r>
          </w:p>
        </w:tc>
        <w:tc>
          <w:tcPr>
            <w:tcW w:w="3415" w:type="dxa"/>
          </w:tcPr>
          <w:p w14:paraId="2EFDA192" w14:textId="77777777" w:rsidR="00CD5DC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176 $</w:t>
            </w:r>
          </w:p>
        </w:tc>
      </w:tr>
      <w:tr w:rsidR="004976DD" w:rsidRPr="00DC4B04" w14:paraId="099BA999"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63377B19" w14:textId="037CA42B" w:rsidR="00234758" w:rsidRPr="00DC4B04" w:rsidRDefault="00DC4B04" w:rsidP="007314DE">
            <w:pPr>
              <w:spacing w:after="0" w:line="240" w:lineRule="auto"/>
              <w:rPr>
                <w:sz w:val="24"/>
                <w:szCs w:val="24"/>
              </w:rPr>
            </w:pPr>
            <w:r>
              <w:rPr>
                <w:sz w:val="24"/>
                <w:szCs w:val="24"/>
              </w:rPr>
              <w:t>Enquête des services à l</w:t>
            </w:r>
            <w:r w:rsidR="003B5177">
              <w:rPr>
                <w:sz w:val="24"/>
                <w:szCs w:val="24"/>
              </w:rPr>
              <w:t>’</w:t>
            </w:r>
            <w:r>
              <w:rPr>
                <w:sz w:val="24"/>
                <w:szCs w:val="24"/>
              </w:rPr>
              <w:t>enfant et à la famille</w:t>
            </w:r>
          </w:p>
        </w:tc>
        <w:tc>
          <w:tcPr>
            <w:tcW w:w="3415" w:type="dxa"/>
          </w:tcPr>
          <w:p w14:paraId="627A51A9" w14:textId="77777777" w:rsidR="00CD5DC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7 809 $</w:t>
            </w:r>
          </w:p>
        </w:tc>
      </w:tr>
      <w:tr w:rsidR="004976DD" w:rsidRPr="00DC4B04" w14:paraId="2A465857"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33C606F5" w14:textId="68B2ABE3" w:rsidR="00234758" w:rsidRPr="00DC4B04" w:rsidRDefault="00DC4B04" w:rsidP="007314DE">
            <w:pPr>
              <w:spacing w:after="0" w:line="240" w:lineRule="auto"/>
              <w:rPr>
                <w:sz w:val="24"/>
                <w:szCs w:val="24"/>
              </w:rPr>
            </w:pPr>
            <w:r>
              <w:rPr>
                <w:sz w:val="24"/>
                <w:szCs w:val="24"/>
              </w:rPr>
              <w:t>Visites à domicile des Services à l</w:t>
            </w:r>
            <w:r w:rsidR="003B5177">
              <w:rPr>
                <w:sz w:val="24"/>
                <w:szCs w:val="24"/>
              </w:rPr>
              <w:t>’</w:t>
            </w:r>
            <w:r>
              <w:rPr>
                <w:sz w:val="24"/>
                <w:szCs w:val="24"/>
              </w:rPr>
              <w:t>enfant</w:t>
            </w:r>
          </w:p>
        </w:tc>
        <w:tc>
          <w:tcPr>
            <w:tcW w:w="3415" w:type="dxa"/>
          </w:tcPr>
          <w:p w14:paraId="4F05BD92" w14:textId="77777777" w:rsidR="00CD5DC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57 656 $</w:t>
            </w:r>
          </w:p>
        </w:tc>
      </w:tr>
      <w:tr w:rsidR="004976DD" w:rsidRPr="00DC4B04" w14:paraId="0A1FB7C6"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67B7D453" w14:textId="77777777" w:rsidR="00CD5DC0" w:rsidRPr="00DC4B04" w:rsidRDefault="00DC4B04" w:rsidP="00D17AA3">
            <w:pPr>
              <w:spacing w:after="0" w:line="240" w:lineRule="auto"/>
              <w:jc w:val="right"/>
              <w:rPr>
                <w:b/>
                <w:bCs/>
                <w:sz w:val="24"/>
                <w:szCs w:val="24"/>
              </w:rPr>
            </w:pPr>
            <w:r>
              <w:rPr>
                <w:b/>
                <w:bCs/>
                <w:sz w:val="24"/>
                <w:szCs w:val="24"/>
              </w:rPr>
              <w:t>Total de la période</w:t>
            </w:r>
          </w:p>
        </w:tc>
        <w:tc>
          <w:tcPr>
            <w:tcW w:w="3415" w:type="dxa"/>
          </w:tcPr>
          <w:p w14:paraId="12596260" w14:textId="77777777" w:rsidR="00CD5DC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65 641 $</w:t>
            </w:r>
          </w:p>
        </w:tc>
      </w:tr>
      <w:bookmarkEnd w:id="12"/>
    </w:tbl>
    <w:p w14:paraId="7DD9D18F" w14:textId="77777777" w:rsidR="00CD5DC0" w:rsidRPr="00DC4B04" w:rsidRDefault="00CD5DC0" w:rsidP="00CD5DC0">
      <w:pPr>
        <w:spacing w:after="0"/>
      </w:pPr>
    </w:p>
    <w:p w14:paraId="284968B7" w14:textId="7488B102" w:rsidR="00CD5DC0" w:rsidRPr="00DC4B04" w:rsidRDefault="00DC4B04" w:rsidP="00CD5DC0">
      <w:pPr>
        <w:pStyle w:val="Caption"/>
        <w:keepNext/>
        <w:rPr>
          <w:sz w:val="24"/>
          <w:szCs w:val="24"/>
        </w:rPr>
      </w:pPr>
      <w:r>
        <w:rPr>
          <w:sz w:val="24"/>
          <w:szCs w:val="24"/>
        </w:rPr>
        <w:t xml:space="preserve">Tableau </w:t>
      </w:r>
      <w:r w:rsidRPr="00DC4B04">
        <w:rPr>
          <w:sz w:val="24"/>
          <w:szCs w:val="24"/>
        </w:rPr>
        <w:fldChar w:fldCharType="begin"/>
      </w:r>
      <w:r w:rsidRPr="00DC4B04">
        <w:rPr>
          <w:sz w:val="24"/>
          <w:szCs w:val="24"/>
        </w:rPr>
        <w:instrText xml:space="preserve"> SEQ Table \* ARABIC </w:instrText>
      </w:r>
      <w:r w:rsidRPr="00DC4B04">
        <w:rPr>
          <w:sz w:val="24"/>
          <w:szCs w:val="24"/>
        </w:rPr>
        <w:fldChar w:fldCharType="separate"/>
      </w:r>
      <w:r w:rsidR="00784C8F">
        <w:rPr>
          <w:noProof/>
          <w:sz w:val="24"/>
          <w:szCs w:val="24"/>
        </w:rPr>
        <w:t>2</w:t>
      </w:r>
      <w:r w:rsidRPr="00DC4B04">
        <w:rPr>
          <w:sz w:val="24"/>
          <w:szCs w:val="24"/>
        </w:rPr>
        <w:fldChar w:fldCharType="end"/>
      </w:r>
      <w:r>
        <w:rPr>
          <w:sz w:val="24"/>
          <w:szCs w:val="24"/>
        </w:rPr>
        <w:t> : Coûts des postes pour 3 à 5 ans</w:t>
      </w:r>
    </w:p>
    <w:tbl>
      <w:tblPr>
        <w:tblStyle w:val="RD"/>
        <w:tblW w:w="0" w:type="auto"/>
        <w:tblLook w:val="04A0" w:firstRow="1" w:lastRow="0" w:firstColumn="1" w:lastColumn="0" w:noHBand="0" w:noVBand="1"/>
      </w:tblPr>
      <w:tblGrid>
        <w:gridCol w:w="5935"/>
        <w:gridCol w:w="3415"/>
      </w:tblGrid>
      <w:tr w:rsidR="004976DD" w:rsidRPr="00DC4B04" w14:paraId="57FCB053" w14:textId="77777777" w:rsidTr="004976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2343016F" w14:textId="77777777" w:rsidR="00CD5DC0" w:rsidRPr="00DC4B04" w:rsidRDefault="00DC4B04" w:rsidP="007314DE">
            <w:pPr>
              <w:spacing w:after="0" w:line="240" w:lineRule="auto"/>
              <w:rPr>
                <w:sz w:val="24"/>
                <w:szCs w:val="24"/>
              </w:rPr>
            </w:pPr>
            <w:r>
              <w:rPr>
                <w:sz w:val="24"/>
                <w:szCs w:val="24"/>
              </w:rPr>
              <w:t>Poste</w:t>
            </w:r>
          </w:p>
        </w:tc>
        <w:tc>
          <w:tcPr>
            <w:tcW w:w="3415" w:type="dxa"/>
          </w:tcPr>
          <w:p w14:paraId="38EC3010" w14:textId="536C3BED" w:rsidR="00CD5DC0" w:rsidRPr="00DC4B04" w:rsidRDefault="00DC4B04" w:rsidP="00C36E2F">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Coût total calculé</w:t>
            </w:r>
            <w:r w:rsidR="00D73061">
              <w:rPr>
                <w:sz w:val="24"/>
                <w:szCs w:val="24"/>
              </w:rPr>
              <w:t xml:space="preserve"> </w:t>
            </w:r>
            <w:r>
              <w:rPr>
                <w:sz w:val="24"/>
                <w:szCs w:val="24"/>
              </w:rPr>
              <w:t>(en dollars canadiens de 2025)</w:t>
            </w:r>
          </w:p>
        </w:tc>
      </w:tr>
      <w:tr w:rsidR="004976DD" w:rsidRPr="00DC4B04" w14:paraId="2FAAF3B0"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14054A2E" w14:textId="4DEC5E24" w:rsidR="00234758" w:rsidRPr="00DC4B04" w:rsidRDefault="00DC4B04" w:rsidP="007314DE">
            <w:pPr>
              <w:spacing w:after="0" w:line="240" w:lineRule="auto"/>
              <w:rPr>
                <w:sz w:val="24"/>
                <w:szCs w:val="24"/>
              </w:rPr>
            </w:pPr>
            <w:r>
              <w:rPr>
                <w:sz w:val="24"/>
                <w:szCs w:val="24"/>
              </w:rPr>
              <w:t>Visite à l</w:t>
            </w:r>
            <w:r w:rsidR="003B5177">
              <w:rPr>
                <w:sz w:val="24"/>
                <w:szCs w:val="24"/>
              </w:rPr>
              <w:t>’</w:t>
            </w:r>
            <w:r>
              <w:rPr>
                <w:sz w:val="24"/>
                <w:szCs w:val="24"/>
              </w:rPr>
              <w:t>urgence</w:t>
            </w:r>
          </w:p>
        </w:tc>
        <w:tc>
          <w:tcPr>
            <w:tcW w:w="3415" w:type="dxa"/>
          </w:tcPr>
          <w:p w14:paraId="29FB7B03" w14:textId="77777777" w:rsidR="00CD5DC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1 083 $</w:t>
            </w:r>
          </w:p>
        </w:tc>
      </w:tr>
      <w:tr w:rsidR="004976DD" w:rsidRPr="00DC4B04" w14:paraId="3BB5A0F2"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4C53795C" w14:textId="77FA9D4C" w:rsidR="00234758" w:rsidRPr="00DC4B04" w:rsidRDefault="00DC4B04" w:rsidP="00234758">
            <w:pPr>
              <w:spacing w:after="0" w:line="240" w:lineRule="auto"/>
              <w:rPr>
                <w:sz w:val="24"/>
                <w:szCs w:val="24"/>
              </w:rPr>
            </w:pPr>
            <w:r>
              <w:rPr>
                <w:sz w:val="24"/>
                <w:szCs w:val="24"/>
              </w:rPr>
              <w:t>Enquête des services à l</w:t>
            </w:r>
            <w:r w:rsidR="003B5177">
              <w:rPr>
                <w:sz w:val="24"/>
                <w:szCs w:val="24"/>
              </w:rPr>
              <w:t>’</w:t>
            </w:r>
            <w:r>
              <w:rPr>
                <w:sz w:val="24"/>
                <w:szCs w:val="24"/>
              </w:rPr>
              <w:t>enfant et à la famille</w:t>
            </w:r>
          </w:p>
        </w:tc>
        <w:tc>
          <w:tcPr>
            <w:tcW w:w="3415" w:type="dxa"/>
          </w:tcPr>
          <w:p w14:paraId="396390C5" w14:textId="77777777" w:rsidR="00234758"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7 809 $</w:t>
            </w:r>
          </w:p>
        </w:tc>
      </w:tr>
      <w:tr w:rsidR="004976DD" w:rsidRPr="00DC4B04" w14:paraId="67F2717F"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41EC336A" w14:textId="77777777" w:rsidR="00234758" w:rsidRPr="00DC4B04" w:rsidRDefault="00DC4B04" w:rsidP="00234758">
            <w:pPr>
              <w:spacing w:after="0" w:line="240" w:lineRule="auto"/>
              <w:rPr>
                <w:sz w:val="24"/>
                <w:szCs w:val="24"/>
              </w:rPr>
            </w:pPr>
            <w:r>
              <w:rPr>
                <w:sz w:val="24"/>
                <w:szCs w:val="24"/>
              </w:rPr>
              <w:t xml:space="preserve">Audience sur la garde des enfants (14 558,09 $ pour une durée de 5 jours) </w:t>
            </w:r>
          </w:p>
        </w:tc>
        <w:tc>
          <w:tcPr>
            <w:tcW w:w="3415" w:type="dxa"/>
          </w:tcPr>
          <w:p w14:paraId="1D7D38A2" w14:textId="77777777" w:rsidR="00234758"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72 790 $</w:t>
            </w:r>
          </w:p>
        </w:tc>
      </w:tr>
      <w:tr w:rsidR="004976DD" w:rsidRPr="00DC4B04" w14:paraId="5578CB97"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5AF8FC63" w14:textId="6F932BDB" w:rsidR="00234758" w:rsidRPr="00DC4B04" w:rsidRDefault="00DC4B04" w:rsidP="00234758">
            <w:pPr>
              <w:spacing w:after="0" w:line="240" w:lineRule="auto"/>
              <w:rPr>
                <w:sz w:val="24"/>
                <w:szCs w:val="24"/>
              </w:rPr>
            </w:pPr>
            <w:r>
              <w:rPr>
                <w:sz w:val="24"/>
                <w:szCs w:val="24"/>
              </w:rPr>
              <w:t>Placement en famille d</w:t>
            </w:r>
            <w:r w:rsidR="003B5177">
              <w:rPr>
                <w:sz w:val="24"/>
                <w:szCs w:val="24"/>
              </w:rPr>
              <w:t>’</w:t>
            </w:r>
            <w:r>
              <w:rPr>
                <w:sz w:val="24"/>
                <w:szCs w:val="24"/>
              </w:rPr>
              <w:t>accueil (1 530,57 $ par mois pour les enfants de moins de 11 ans)</w:t>
            </w:r>
          </w:p>
        </w:tc>
        <w:tc>
          <w:tcPr>
            <w:tcW w:w="3415" w:type="dxa"/>
          </w:tcPr>
          <w:p w14:paraId="1CF74758" w14:textId="77777777" w:rsidR="00234758"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12 245 $</w:t>
            </w:r>
          </w:p>
        </w:tc>
      </w:tr>
      <w:tr w:rsidR="004976DD" w:rsidRPr="00DC4B04" w14:paraId="6CBD92B3"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16274AC8" w14:textId="77777777" w:rsidR="00D17AA3" w:rsidRPr="00DC4B04" w:rsidRDefault="00DC4B04" w:rsidP="00D17AA3">
            <w:pPr>
              <w:spacing w:after="0" w:line="240" w:lineRule="auto"/>
              <w:jc w:val="right"/>
              <w:rPr>
                <w:sz w:val="24"/>
                <w:szCs w:val="24"/>
              </w:rPr>
            </w:pPr>
            <w:r>
              <w:rPr>
                <w:b/>
                <w:bCs/>
                <w:sz w:val="24"/>
                <w:szCs w:val="24"/>
              </w:rPr>
              <w:t>Total de la période</w:t>
            </w:r>
          </w:p>
        </w:tc>
        <w:tc>
          <w:tcPr>
            <w:tcW w:w="3415" w:type="dxa"/>
          </w:tcPr>
          <w:p w14:paraId="7C6C95D9" w14:textId="624C08BB" w:rsidR="00D17AA3"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93 92</w:t>
            </w:r>
            <w:r w:rsidR="00D2687C">
              <w:rPr>
                <w:b/>
                <w:bCs/>
                <w:sz w:val="24"/>
                <w:szCs w:val="24"/>
              </w:rPr>
              <w:t>7</w:t>
            </w:r>
            <w:r>
              <w:rPr>
                <w:b/>
                <w:bCs/>
                <w:sz w:val="24"/>
                <w:szCs w:val="24"/>
              </w:rPr>
              <w:t> $</w:t>
            </w:r>
          </w:p>
        </w:tc>
      </w:tr>
    </w:tbl>
    <w:p w14:paraId="3FB1DA62" w14:textId="77777777" w:rsidR="00CD5DC0" w:rsidRPr="00DC4B04" w:rsidRDefault="00CD5DC0" w:rsidP="00CD5DC0">
      <w:pPr>
        <w:spacing w:after="0"/>
      </w:pPr>
    </w:p>
    <w:p w14:paraId="2513B719" w14:textId="42436649" w:rsidR="00CD5DC0" w:rsidRPr="00DC4B04" w:rsidRDefault="00DC4B04" w:rsidP="00CD5DC0">
      <w:pPr>
        <w:pStyle w:val="Caption"/>
        <w:keepNext/>
        <w:rPr>
          <w:sz w:val="24"/>
          <w:szCs w:val="24"/>
        </w:rPr>
      </w:pPr>
      <w:r>
        <w:rPr>
          <w:sz w:val="24"/>
          <w:szCs w:val="24"/>
        </w:rPr>
        <w:t xml:space="preserve">Tableau </w:t>
      </w:r>
      <w:r w:rsidRPr="00DC4B04">
        <w:rPr>
          <w:sz w:val="24"/>
          <w:szCs w:val="24"/>
        </w:rPr>
        <w:fldChar w:fldCharType="begin"/>
      </w:r>
      <w:r w:rsidRPr="00DC4B04">
        <w:rPr>
          <w:sz w:val="24"/>
          <w:szCs w:val="24"/>
        </w:rPr>
        <w:instrText xml:space="preserve"> SEQ Table \* ARABIC </w:instrText>
      </w:r>
      <w:r w:rsidRPr="00DC4B04">
        <w:rPr>
          <w:sz w:val="24"/>
          <w:szCs w:val="24"/>
        </w:rPr>
        <w:fldChar w:fldCharType="separate"/>
      </w:r>
      <w:r w:rsidR="00784C8F">
        <w:rPr>
          <w:noProof/>
          <w:sz w:val="24"/>
          <w:szCs w:val="24"/>
        </w:rPr>
        <w:t>3</w:t>
      </w:r>
      <w:r w:rsidRPr="00DC4B04">
        <w:rPr>
          <w:sz w:val="24"/>
          <w:szCs w:val="24"/>
        </w:rPr>
        <w:fldChar w:fldCharType="end"/>
      </w:r>
      <w:r>
        <w:rPr>
          <w:sz w:val="24"/>
          <w:szCs w:val="24"/>
        </w:rPr>
        <w:t> : Coûts des postes pour 6 à 10 ans</w:t>
      </w:r>
    </w:p>
    <w:tbl>
      <w:tblPr>
        <w:tblStyle w:val="RD"/>
        <w:tblW w:w="0" w:type="auto"/>
        <w:tblLook w:val="04A0" w:firstRow="1" w:lastRow="0" w:firstColumn="1" w:lastColumn="0" w:noHBand="0" w:noVBand="1"/>
      </w:tblPr>
      <w:tblGrid>
        <w:gridCol w:w="5935"/>
        <w:gridCol w:w="3415"/>
      </w:tblGrid>
      <w:tr w:rsidR="004976DD" w:rsidRPr="00DC4B04" w14:paraId="140A0FEC" w14:textId="77777777" w:rsidTr="004976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0063F73A" w14:textId="77777777" w:rsidR="00CD5DC0" w:rsidRPr="00DC4B04" w:rsidRDefault="00DC4B04" w:rsidP="007314DE">
            <w:pPr>
              <w:spacing w:after="0" w:line="240" w:lineRule="auto"/>
              <w:rPr>
                <w:sz w:val="24"/>
                <w:szCs w:val="24"/>
              </w:rPr>
            </w:pPr>
            <w:r>
              <w:rPr>
                <w:sz w:val="24"/>
                <w:szCs w:val="24"/>
              </w:rPr>
              <w:t>Poste</w:t>
            </w:r>
          </w:p>
        </w:tc>
        <w:tc>
          <w:tcPr>
            <w:tcW w:w="3415" w:type="dxa"/>
          </w:tcPr>
          <w:p w14:paraId="04D9010D" w14:textId="4298F3F7" w:rsidR="00CD5DC0" w:rsidRPr="00DC4B04" w:rsidRDefault="00DC4B04" w:rsidP="00C36E2F">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Coût total calculé</w:t>
            </w:r>
            <w:r w:rsidR="00D73061">
              <w:rPr>
                <w:sz w:val="24"/>
                <w:szCs w:val="24"/>
              </w:rPr>
              <w:t xml:space="preserve"> </w:t>
            </w:r>
            <w:r>
              <w:rPr>
                <w:sz w:val="24"/>
                <w:szCs w:val="24"/>
              </w:rPr>
              <w:t>(en dollars canadiens de 2025)</w:t>
            </w:r>
          </w:p>
        </w:tc>
      </w:tr>
      <w:tr w:rsidR="004976DD" w:rsidRPr="00DC4B04" w14:paraId="23C25209"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61117F3F" w14:textId="1E1DDACB" w:rsidR="009B7D74" w:rsidRPr="00DC4B04" w:rsidRDefault="00DC4B04" w:rsidP="007314DE">
            <w:pPr>
              <w:spacing w:after="0" w:line="240" w:lineRule="auto"/>
              <w:rPr>
                <w:sz w:val="24"/>
                <w:szCs w:val="24"/>
              </w:rPr>
            </w:pPr>
            <w:r>
              <w:rPr>
                <w:sz w:val="24"/>
                <w:szCs w:val="24"/>
              </w:rPr>
              <w:t>Cours d</w:t>
            </w:r>
            <w:r w:rsidR="003B5177">
              <w:rPr>
                <w:sz w:val="24"/>
                <w:szCs w:val="24"/>
              </w:rPr>
              <w:t>’</w:t>
            </w:r>
            <w:r>
              <w:rPr>
                <w:sz w:val="24"/>
                <w:szCs w:val="24"/>
              </w:rPr>
              <w:t>éducation parentale</w:t>
            </w:r>
          </w:p>
        </w:tc>
        <w:tc>
          <w:tcPr>
            <w:tcW w:w="3415" w:type="dxa"/>
          </w:tcPr>
          <w:p w14:paraId="774B6DDB" w14:textId="77777777" w:rsidR="009B7D74"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3 198 $</w:t>
            </w:r>
          </w:p>
        </w:tc>
      </w:tr>
      <w:tr w:rsidR="004976DD" w:rsidRPr="00DC4B04" w14:paraId="3D01B063"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70D1F743" w14:textId="77777777" w:rsidR="009B7D74" w:rsidRPr="00DC4B04" w:rsidRDefault="00DC4B04" w:rsidP="007314DE">
            <w:pPr>
              <w:spacing w:after="0" w:line="240" w:lineRule="auto"/>
              <w:rPr>
                <w:sz w:val="24"/>
                <w:szCs w:val="24"/>
              </w:rPr>
            </w:pPr>
            <w:r>
              <w:rPr>
                <w:sz w:val="24"/>
                <w:szCs w:val="24"/>
              </w:rPr>
              <w:t>Visites supervisées (30,00 $ par visite, 2 fois par semaine pendant 8 semaines)</w:t>
            </w:r>
          </w:p>
        </w:tc>
        <w:tc>
          <w:tcPr>
            <w:tcW w:w="3415" w:type="dxa"/>
          </w:tcPr>
          <w:p w14:paraId="4207B6EE" w14:textId="77777777" w:rsidR="009B7D74"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480 $</w:t>
            </w:r>
          </w:p>
        </w:tc>
      </w:tr>
      <w:tr w:rsidR="004976DD" w:rsidRPr="00DC4B04" w14:paraId="1B83753A"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04D89D56" w14:textId="38622ADC" w:rsidR="009B7D74" w:rsidRPr="00DC4B04" w:rsidRDefault="00DC4B04" w:rsidP="007314DE">
            <w:pPr>
              <w:spacing w:after="0" w:line="240" w:lineRule="auto"/>
              <w:rPr>
                <w:sz w:val="24"/>
                <w:szCs w:val="24"/>
              </w:rPr>
            </w:pPr>
            <w:r>
              <w:rPr>
                <w:sz w:val="24"/>
                <w:szCs w:val="24"/>
              </w:rPr>
              <w:t>Visites à domicile des Services à l</w:t>
            </w:r>
            <w:r w:rsidR="003B5177">
              <w:rPr>
                <w:sz w:val="24"/>
                <w:szCs w:val="24"/>
              </w:rPr>
              <w:t>’</w:t>
            </w:r>
            <w:r>
              <w:rPr>
                <w:sz w:val="24"/>
                <w:szCs w:val="24"/>
              </w:rPr>
              <w:t>enfant/Travail social individualisé continu (57 655,85 $ par année pendant 2 ans)</w:t>
            </w:r>
          </w:p>
        </w:tc>
        <w:tc>
          <w:tcPr>
            <w:tcW w:w="3415" w:type="dxa"/>
            <w:tcBorders>
              <w:bottom w:val="single" w:sz="8" w:space="0" w:color="467C81" w:themeColor="accent3"/>
            </w:tcBorders>
          </w:tcPr>
          <w:p w14:paraId="051897C8" w14:textId="77777777" w:rsidR="009B7D74"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115 312 $</w:t>
            </w:r>
          </w:p>
        </w:tc>
      </w:tr>
      <w:tr w:rsidR="004976DD" w:rsidRPr="00DC4B04" w14:paraId="06188ECF"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1D34F3EF" w14:textId="77777777" w:rsidR="00D17AA3" w:rsidRPr="00DC4B04" w:rsidRDefault="00DC4B04" w:rsidP="007314DE">
            <w:pPr>
              <w:spacing w:after="0" w:line="240" w:lineRule="auto"/>
              <w:rPr>
                <w:sz w:val="24"/>
                <w:szCs w:val="24"/>
              </w:rPr>
            </w:pPr>
            <w:r>
              <w:rPr>
                <w:sz w:val="24"/>
                <w:szCs w:val="24"/>
              </w:rPr>
              <w:t>Évaluation psychopédagogique</w:t>
            </w:r>
          </w:p>
        </w:tc>
        <w:tc>
          <w:tcPr>
            <w:tcW w:w="3415" w:type="dxa"/>
            <w:tcBorders>
              <w:bottom w:val="single" w:sz="8" w:space="0" w:color="467C81" w:themeColor="accent3"/>
            </w:tcBorders>
          </w:tcPr>
          <w:p w14:paraId="137EE4B4" w14:textId="77777777" w:rsidR="00CD5DC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4 497 $</w:t>
            </w:r>
          </w:p>
        </w:tc>
      </w:tr>
      <w:tr w:rsidR="004976DD" w:rsidRPr="00DC4B04" w14:paraId="1DC175BA"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772B3E43" w14:textId="59D9094E" w:rsidR="00CD5DC0" w:rsidRPr="00DC4B04" w:rsidRDefault="00DC4B04" w:rsidP="007314DE">
            <w:pPr>
              <w:spacing w:after="0" w:line="240" w:lineRule="auto"/>
              <w:rPr>
                <w:sz w:val="24"/>
                <w:szCs w:val="24"/>
              </w:rPr>
            </w:pPr>
            <w:r>
              <w:rPr>
                <w:sz w:val="24"/>
                <w:szCs w:val="24"/>
              </w:rPr>
              <w:t>Régime d</w:t>
            </w:r>
            <w:r w:rsidR="003B5177">
              <w:rPr>
                <w:sz w:val="24"/>
                <w:szCs w:val="24"/>
              </w:rPr>
              <w:t>’</w:t>
            </w:r>
            <w:r>
              <w:rPr>
                <w:sz w:val="24"/>
                <w:szCs w:val="24"/>
              </w:rPr>
              <w:t>éducation individualisé (6 189,16 $ par année pendant 3 ans)</w:t>
            </w:r>
          </w:p>
        </w:tc>
        <w:tc>
          <w:tcPr>
            <w:tcW w:w="3415" w:type="dxa"/>
            <w:tcBorders>
              <w:top w:val="single" w:sz="8" w:space="0" w:color="467C81" w:themeColor="accent3"/>
            </w:tcBorders>
          </w:tcPr>
          <w:p w14:paraId="510090D7" w14:textId="77777777" w:rsidR="00CD5DC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18 567 $</w:t>
            </w:r>
          </w:p>
        </w:tc>
      </w:tr>
      <w:tr w:rsidR="004976DD" w:rsidRPr="00DC4B04" w14:paraId="78A1EADB"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21CE3072" w14:textId="77777777" w:rsidR="00CD5DC0" w:rsidRPr="00DC4B04" w:rsidRDefault="00DC4B04" w:rsidP="00D17AA3">
            <w:pPr>
              <w:spacing w:after="0" w:line="240" w:lineRule="auto"/>
              <w:jc w:val="right"/>
              <w:rPr>
                <w:b/>
                <w:bCs/>
                <w:sz w:val="24"/>
                <w:szCs w:val="24"/>
              </w:rPr>
            </w:pPr>
            <w:r>
              <w:rPr>
                <w:b/>
                <w:bCs/>
                <w:sz w:val="24"/>
                <w:szCs w:val="24"/>
              </w:rPr>
              <w:t>Total de la période</w:t>
            </w:r>
          </w:p>
        </w:tc>
        <w:tc>
          <w:tcPr>
            <w:tcW w:w="3415" w:type="dxa"/>
          </w:tcPr>
          <w:p w14:paraId="7E255103" w14:textId="77777777" w:rsidR="00CD5DC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142 054 $</w:t>
            </w:r>
          </w:p>
        </w:tc>
      </w:tr>
    </w:tbl>
    <w:p w14:paraId="76BBBCAE" w14:textId="77777777" w:rsidR="00CD5DC0" w:rsidRPr="00DC4B04" w:rsidRDefault="00CD5DC0" w:rsidP="00CD5DC0">
      <w:pPr>
        <w:spacing w:after="0"/>
      </w:pPr>
    </w:p>
    <w:p w14:paraId="1B42596C" w14:textId="55FEF350" w:rsidR="00CD5DC0" w:rsidRPr="00DC4B04" w:rsidRDefault="00DC4B04" w:rsidP="00CD5DC0">
      <w:pPr>
        <w:pStyle w:val="Caption"/>
        <w:keepNext/>
        <w:rPr>
          <w:sz w:val="24"/>
          <w:szCs w:val="24"/>
        </w:rPr>
      </w:pPr>
      <w:r>
        <w:rPr>
          <w:sz w:val="24"/>
          <w:szCs w:val="24"/>
        </w:rPr>
        <w:t xml:space="preserve">Tableau </w:t>
      </w:r>
      <w:r w:rsidRPr="00DC4B04">
        <w:rPr>
          <w:sz w:val="24"/>
          <w:szCs w:val="24"/>
        </w:rPr>
        <w:fldChar w:fldCharType="begin"/>
      </w:r>
      <w:r w:rsidRPr="00DC4B04">
        <w:rPr>
          <w:sz w:val="24"/>
          <w:szCs w:val="24"/>
        </w:rPr>
        <w:instrText xml:space="preserve"> SEQ Table \* ARABIC </w:instrText>
      </w:r>
      <w:r w:rsidRPr="00DC4B04">
        <w:rPr>
          <w:sz w:val="24"/>
          <w:szCs w:val="24"/>
        </w:rPr>
        <w:fldChar w:fldCharType="separate"/>
      </w:r>
      <w:r w:rsidR="00784C8F">
        <w:rPr>
          <w:noProof/>
          <w:sz w:val="24"/>
          <w:szCs w:val="24"/>
        </w:rPr>
        <w:t>4</w:t>
      </w:r>
      <w:r w:rsidRPr="00DC4B04">
        <w:rPr>
          <w:sz w:val="24"/>
          <w:szCs w:val="24"/>
        </w:rPr>
        <w:fldChar w:fldCharType="end"/>
      </w:r>
      <w:r>
        <w:rPr>
          <w:sz w:val="24"/>
          <w:szCs w:val="24"/>
        </w:rPr>
        <w:t> : Coûts des postes pour 11 à 14 ans</w:t>
      </w:r>
    </w:p>
    <w:tbl>
      <w:tblPr>
        <w:tblStyle w:val="RD"/>
        <w:tblW w:w="0" w:type="auto"/>
        <w:tblLook w:val="04A0" w:firstRow="1" w:lastRow="0" w:firstColumn="1" w:lastColumn="0" w:noHBand="0" w:noVBand="1"/>
      </w:tblPr>
      <w:tblGrid>
        <w:gridCol w:w="5935"/>
        <w:gridCol w:w="3415"/>
      </w:tblGrid>
      <w:tr w:rsidR="004976DD" w:rsidRPr="00DC4B04" w14:paraId="1930DCEC" w14:textId="77777777" w:rsidTr="004976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5B6D4199" w14:textId="77777777" w:rsidR="00CD5DC0" w:rsidRPr="00DC4B04" w:rsidRDefault="00DC4B04" w:rsidP="007314DE">
            <w:pPr>
              <w:spacing w:after="0" w:line="240" w:lineRule="auto"/>
              <w:rPr>
                <w:sz w:val="24"/>
                <w:szCs w:val="24"/>
              </w:rPr>
            </w:pPr>
            <w:r>
              <w:rPr>
                <w:sz w:val="24"/>
                <w:szCs w:val="24"/>
              </w:rPr>
              <w:t>Poste</w:t>
            </w:r>
          </w:p>
        </w:tc>
        <w:tc>
          <w:tcPr>
            <w:tcW w:w="3415" w:type="dxa"/>
          </w:tcPr>
          <w:p w14:paraId="3BCF4257" w14:textId="33F991A7" w:rsidR="00CD5DC0" w:rsidRPr="00DC4B04" w:rsidRDefault="00DC4B04" w:rsidP="00C36E2F">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Coût total calculé</w:t>
            </w:r>
            <w:r w:rsidR="00D73061">
              <w:rPr>
                <w:sz w:val="24"/>
                <w:szCs w:val="24"/>
              </w:rPr>
              <w:t xml:space="preserve"> </w:t>
            </w:r>
            <w:r>
              <w:rPr>
                <w:sz w:val="24"/>
                <w:szCs w:val="24"/>
              </w:rPr>
              <w:t>(en dollars canadiens de 2025)</w:t>
            </w:r>
          </w:p>
        </w:tc>
      </w:tr>
      <w:tr w:rsidR="004976DD" w:rsidRPr="00DC4B04" w14:paraId="47026D69"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029810FF" w14:textId="19DC511A" w:rsidR="00347320" w:rsidRPr="00DC4B04" w:rsidRDefault="00DC4B04" w:rsidP="007314DE">
            <w:pPr>
              <w:spacing w:after="0" w:line="240" w:lineRule="auto"/>
              <w:rPr>
                <w:sz w:val="24"/>
                <w:szCs w:val="24"/>
              </w:rPr>
            </w:pPr>
            <w:r>
              <w:rPr>
                <w:sz w:val="24"/>
                <w:szCs w:val="24"/>
              </w:rPr>
              <w:t>Régime d</w:t>
            </w:r>
            <w:r w:rsidR="003B5177">
              <w:rPr>
                <w:sz w:val="24"/>
                <w:szCs w:val="24"/>
              </w:rPr>
              <w:t>’</w:t>
            </w:r>
            <w:r>
              <w:rPr>
                <w:sz w:val="24"/>
                <w:szCs w:val="24"/>
              </w:rPr>
              <w:t>éducation individualisé (6 189,16 $ par année pendant 4 ans)</w:t>
            </w:r>
          </w:p>
        </w:tc>
        <w:tc>
          <w:tcPr>
            <w:tcW w:w="3415" w:type="dxa"/>
          </w:tcPr>
          <w:p w14:paraId="1ED0B026" w14:textId="77777777" w:rsidR="0034732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24 757 $</w:t>
            </w:r>
          </w:p>
        </w:tc>
      </w:tr>
      <w:tr w:rsidR="004976DD" w:rsidRPr="00DC4B04" w14:paraId="1A9F03BC"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432C2A30" w14:textId="77777777" w:rsidR="00347320" w:rsidRPr="00DC4B04" w:rsidRDefault="00DC4B04" w:rsidP="00347320">
            <w:pPr>
              <w:spacing w:after="0" w:line="240" w:lineRule="auto"/>
              <w:rPr>
                <w:sz w:val="24"/>
                <w:szCs w:val="24"/>
              </w:rPr>
            </w:pPr>
            <w:r>
              <w:rPr>
                <w:sz w:val="24"/>
                <w:szCs w:val="24"/>
              </w:rPr>
              <w:t>Appel de service de la police</w:t>
            </w:r>
          </w:p>
        </w:tc>
        <w:tc>
          <w:tcPr>
            <w:tcW w:w="3415" w:type="dxa"/>
          </w:tcPr>
          <w:p w14:paraId="105B5380" w14:textId="77777777" w:rsidR="0034732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176 $</w:t>
            </w:r>
          </w:p>
        </w:tc>
      </w:tr>
      <w:tr w:rsidR="004976DD" w:rsidRPr="00DC4B04" w14:paraId="517BCA4A"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615EF98B" w14:textId="4E925DBF" w:rsidR="00347320" w:rsidRPr="00DC4B04" w:rsidRDefault="00DC4B04" w:rsidP="00347320">
            <w:pPr>
              <w:spacing w:after="0" w:line="240" w:lineRule="auto"/>
              <w:rPr>
                <w:sz w:val="24"/>
                <w:szCs w:val="24"/>
              </w:rPr>
            </w:pPr>
            <w:r>
              <w:rPr>
                <w:sz w:val="24"/>
                <w:szCs w:val="24"/>
              </w:rPr>
              <w:t>Arrestation d</w:t>
            </w:r>
            <w:r w:rsidR="003B5177">
              <w:rPr>
                <w:sz w:val="24"/>
                <w:szCs w:val="24"/>
              </w:rPr>
              <w:t>’</w:t>
            </w:r>
            <w:r>
              <w:rPr>
                <w:sz w:val="24"/>
                <w:szCs w:val="24"/>
              </w:rPr>
              <w:t>un mineur</w:t>
            </w:r>
          </w:p>
        </w:tc>
        <w:tc>
          <w:tcPr>
            <w:tcW w:w="3415" w:type="dxa"/>
          </w:tcPr>
          <w:p w14:paraId="139836D2" w14:textId="77777777" w:rsidR="0034732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677 $</w:t>
            </w:r>
          </w:p>
        </w:tc>
      </w:tr>
      <w:tr w:rsidR="004976DD" w:rsidRPr="00DC4B04" w14:paraId="36DB7DD9"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150C54F9" w14:textId="77777777" w:rsidR="00347320" w:rsidRPr="00DC4B04" w:rsidRDefault="00DC4B04" w:rsidP="00347320">
            <w:pPr>
              <w:spacing w:after="0" w:line="240" w:lineRule="auto"/>
              <w:rPr>
                <w:sz w:val="24"/>
                <w:szCs w:val="24"/>
              </w:rPr>
            </w:pPr>
            <w:r>
              <w:rPr>
                <w:sz w:val="24"/>
                <w:szCs w:val="24"/>
              </w:rPr>
              <w:t>Comparution devant le tribunal de la jeunesse (1 650,83 $ par comparution pour 2 comparutions)</w:t>
            </w:r>
          </w:p>
        </w:tc>
        <w:tc>
          <w:tcPr>
            <w:tcW w:w="3415" w:type="dxa"/>
          </w:tcPr>
          <w:p w14:paraId="15249101" w14:textId="77777777" w:rsidR="0034732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3 302 $</w:t>
            </w:r>
          </w:p>
        </w:tc>
      </w:tr>
      <w:tr w:rsidR="004976DD" w:rsidRPr="00DC4B04" w14:paraId="153E3D78"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1D77C74D" w14:textId="77777777" w:rsidR="00347320" w:rsidRPr="00DC4B04" w:rsidRDefault="00DC4B04" w:rsidP="00347320">
            <w:pPr>
              <w:spacing w:after="0" w:line="240" w:lineRule="auto"/>
              <w:rPr>
                <w:sz w:val="24"/>
                <w:szCs w:val="24"/>
              </w:rPr>
            </w:pPr>
            <w:r>
              <w:rPr>
                <w:sz w:val="24"/>
                <w:szCs w:val="24"/>
              </w:rPr>
              <w:t>Présence de la police au tribunal (443,10 $ par comparution pour 2 comparutions)</w:t>
            </w:r>
          </w:p>
        </w:tc>
        <w:tc>
          <w:tcPr>
            <w:tcW w:w="3415" w:type="dxa"/>
          </w:tcPr>
          <w:p w14:paraId="172583CE" w14:textId="77777777" w:rsidR="0034732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886 $</w:t>
            </w:r>
          </w:p>
        </w:tc>
      </w:tr>
      <w:tr w:rsidR="004976DD" w:rsidRPr="00DC4B04" w14:paraId="14CAD0B6"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0FC8F0F3" w14:textId="77777777" w:rsidR="00347320" w:rsidRPr="00DC4B04" w:rsidRDefault="00DC4B04" w:rsidP="00347320">
            <w:pPr>
              <w:spacing w:after="0" w:line="240" w:lineRule="auto"/>
              <w:rPr>
                <w:sz w:val="24"/>
                <w:szCs w:val="24"/>
              </w:rPr>
            </w:pPr>
            <w:r>
              <w:rPr>
                <w:sz w:val="24"/>
                <w:szCs w:val="24"/>
              </w:rPr>
              <w:t>Vol de moins de 5 000 $</w:t>
            </w:r>
          </w:p>
        </w:tc>
        <w:tc>
          <w:tcPr>
            <w:tcW w:w="3415" w:type="dxa"/>
          </w:tcPr>
          <w:p w14:paraId="2AD05147" w14:textId="77777777" w:rsidR="0034732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1 542 $</w:t>
            </w:r>
          </w:p>
        </w:tc>
      </w:tr>
      <w:tr w:rsidR="004976DD" w:rsidRPr="00DC4B04" w14:paraId="4BD3FA9B"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43B58745" w14:textId="77777777" w:rsidR="00347320" w:rsidRPr="00DC4B04" w:rsidRDefault="00DC4B04" w:rsidP="00347320">
            <w:pPr>
              <w:spacing w:after="0" w:line="240" w:lineRule="auto"/>
              <w:rPr>
                <w:sz w:val="24"/>
                <w:szCs w:val="24"/>
              </w:rPr>
            </w:pPr>
            <w:r>
              <w:rPr>
                <w:sz w:val="24"/>
                <w:szCs w:val="24"/>
              </w:rPr>
              <w:t>Dommages matériels</w:t>
            </w:r>
          </w:p>
        </w:tc>
        <w:tc>
          <w:tcPr>
            <w:tcW w:w="3415" w:type="dxa"/>
          </w:tcPr>
          <w:p w14:paraId="261341E7" w14:textId="77777777" w:rsidR="0034732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3 470 $</w:t>
            </w:r>
          </w:p>
        </w:tc>
      </w:tr>
      <w:tr w:rsidR="004976DD" w:rsidRPr="00DC4B04" w14:paraId="3665DCA0"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1E41F549" w14:textId="77777777" w:rsidR="00347320" w:rsidRPr="00DC4B04" w:rsidRDefault="00DC4B04" w:rsidP="00347320">
            <w:pPr>
              <w:spacing w:after="0" w:line="240" w:lineRule="auto"/>
              <w:rPr>
                <w:sz w:val="24"/>
                <w:szCs w:val="24"/>
              </w:rPr>
            </w:pPr>
            <w:r>
              <w:rPr>
                <w:sz w:val="24"/>
                <w:szCs w:val="24"/>
              </w:rPr>
              <w:t>Surveillance de probation (23,21 $ par jour pendant 90 jours)</w:t>
            </w:r>
          </w:p>
        </w:tc>
        <w:tc>
          <w:tcPr>
            <w:tcW w:w="3415" w:type="dxa"/>
          </w:tcPr>
          <w:p w14:paraId="636BB75A" w14:textId="77777777" w:rsidR="0034732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2 089 $</w:t>
            </w:r>
          </w:p>
        </w:tc>
      </w:tr>
      <w:tr w:rsidR="004976DD" w:rsidRPr="00DC4B04" w14:paraId="79E6B95B"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7CCDB34C" w14:textId="77777777" w:rsidR="00347320" w:rsidRPr="00DC4B04" w:rsidRDefault="00DC4B04" w:rsidP="00347320">
            <w:pPr>
              <w:spacing w:after="0" w:line="240" w:lineRule="auto"/>
              <w:rPr>
                <w:sz w:val="24"/>
                <w:szCs w:val="24"/>
              </w:rPr>
            </w:pPr>
            <w:r>
              <w:rPr>
                <w:sz w:val="24"/>
                <w:szCs w:val="24"/>
              </w:rPr>
              <w:t>Supervision des services communautaires (114,41 $ par jour pour 50 heures en 6,25 journées de travail de 8 heures</w:t>
            </w:r>
          </w:p>
        </w:tc>
        <w:tc>
          <w:tcPr>
            <w:tcW w:w="3415" w:type="dxa"/>
          </w:tcPr>
          <w:p w14:paraId="7A646E41" w14:textId="77777777" w:rsidR="0034732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715 $</w:t>
            </w:r>
          </w:p>
        </w:tc>
      </w:tr>
      <w:tr w:rsidR="004976DD" w:rsidRPr="00DC4B04" w14:paraId="57C57F72"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2361E11B" w14:textId="77777777" w:rsidR="00347320" w:rsidRPr="00DC4B04" w:rsidRDefault="00DC4B04" w:rsidP="00347320">
            <w:pPr>
              <w:spacing w:after="0" w:line="240" w:lineRule="auto"/>
              <w:jc w:val="right"/>
              <w:rPr>
                <w:b/>
                <w:bCs/>
                <w:sz w:val="24"/>
                <w:szCs w:val="24"/>
              </w:rPr>
            </w:pPr>
            <w:r>
              <w:rPr>
                <w:b/>
                <w:bCs/>
                <w:sz w:val="24"/>
                <w:szCs w:val="24"/>
              </w:rPr>
              <w:t>Total de la période</w:t>
            </w:r>
          </w:p>
        </w:tc>
        <w:tc>
          <w:tcPr>
            <w:tcW w:w="3415" w:type="dxa"/>
          </w:tcPr>
          <w:p w14:paraId="7D0584D3" w14:textId="41003A93" w:rsidR="0034732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37 61</w:t>
            </w:r>
            <w:r w:rsidR="00D2687C">
              <w:rPr>
                <w:b/>
                <w:bCs/>
                <w:sz w:val="24"/>
                <w:szCs w:val="24"/>
              </w:rPr>
              <w:t>4</w:t>
            </w:r>
            <w:r>
              <w:rPr>
                <w:b/>
                <w:bCs/>
                <w:sz w:val="24"/>
                <w:szCs w:val="24"/>
              </w:rPr>
              <w:t> $</w:t>
            </w:r>
          </w:p>
        </w:tc>
      </w:tr>
    </w:tbl>
    <w:p w14:paraId="4EB72EBA" w14:textId="77777777" w:rsidR="00D17AA3" w:rsidRPr="00DC4B04" w:rsidRDefault="00D17AA3" w:rsidP="00CD5DC0">
      <w:pPr>
        <w:pStyle w:val="Caption"/>
        <w:keepNext/>
        <w:rPr>
          <w:sz w:val="24"/>
          <w:szCs w:val="24"/>
        </w:rPr>
      </w:pPr>
    </w:p>
    <w:p w14:paraId="64886824" w14:textId="68A978F2" w:rsidR="00CD5DC0" w:rsidRPr="00DC4B04" w:rsidRDefault="00DC4B04" w:rsidP="00CD5DC0">
      <w:pPr>
        <w:pStyle w:val="Caption"/>
        <w:keepNext/>
        <w:rPr>
          <w:sz w:val="24"/>
          <w:szCs w:val="24"/>
        </w:rPr>
      </w:pPr>
      <w:r>
        <w:rPr>
          <w:sz w:val="24"/>
          <w:szCs w:val="24"/>
        </w:rPr>
        <w:t xml:space="preserve">Tableau </w:t>
      </w:r>
      <w:r w:rsidRPr="00DC4B04">
        <w:rPr>
          <w:sz w:val="24"/>
          <w:szCs w:val="24"/>
        </w:rPr>
        <w:fldChar w:fldCharType="begin"/>
      </w:r>
      <w:r w:rsidRPr="00DC4B04">
        <w:rPr>
          <w:sz w:val="24"/>
          <w:szCs w:val="24"/>
        </w:rPr>
        <w:instrText xml:space="preserve"> SEQ Table \* ARABIC </w:instrText>
      </w:r>
      <w:r w:rsidRPr="00DC4B04">
        <w:rPr>
          <w:sz w:val="24"/>
          <w:szCs w:val="24"/>
        </w:rPr>
        <w:fldChar w:fldCharType="separate"/>
      </w:r>
      <w:r w:rsidR="00784C8F">
        <w:rPr>
          <w:noProof/>
          <w:sz w:val="24"/>
          <w:szCs w:val="24"/>
        </w:rPr>
        <w:t>5</w:t>
      </w:r>
      <w:r w:rsidRPr="00DC4B04">
        <w:rPr>
          <w:sz w:val="24"/>
          <w:szCs w:val="24"/>
        </w:rPr>
        <w:fldChar w:fldCharType="end"/>
      </w:r>
      <w:r>
        <w:rPr>
          <w:sz w:val="24"/>
          <w:szCs w:val="24"/>
        </w:rPr>
        <w:t> : Coûts des postes pour 15 à 17 ans</w:t>
      </w:r>
    </w:p>
    <w:tbl>
      <w:tblPr>
        <w:tblStyle w:val="RD"/>
        <w:tblW w:w="0" w:type="auto"/>
        <w:tblLook w:val="04A0" w:firstRow="1" w:lastRow="0" w:firstColumn="1" w:lastColumn="0" w:noHBand="0" w:noVBand="1"/>
      </w:tblPr>
      <w:tblGrid>
        <w:gridCol w:w="5935"/>
        <w:gridCol w:w="3415"/>
      </w:tblGrid>
      <w:tr w:rsidR="004976DD" w:rsidRPr="00DC4B04" w14:paraId="0F38E7A2" w14:textId="77777777" w:rsidTr="004976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60100D5C" w14:textId="77777777" w:rsidR="00CD5DC0" w:rsidRPr="00DC4B04" w:rsidRDefault="00DC4B04" w:rsidP="007314DE">
            <w:pPr>
              <w:spacing w:after="0" w:line="240" w:lineRule="auto"/>
              <w:rPr>
                <w:sz w:val="24"/>
                <w:szCs w:val="24"/>
              </w:rPr>
            </w:pPr>
            <w:r>
              <w:rPr>
                <w:sz w:val="24"/>
                <w:szCs w:val="24"/>
              </w:rPr>
              <w:t>Poste</w:t>
            </w:r>
          </w:p>
        </w:tc>
        <w:tc>
          <w:tcPr>
            <w:tcW w:w="3415" w:type="dxa"/>
          </w:tcPr>
          <w:p w14:paraId="63820CFB" w14:textId="6ABBEBA6" w:rsidR="00CD5DC0" w:rsidRPr="00DC4B04" w:rsidRDefault="00DC4B04" w:rsidP="00C36E2F">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Coût total calculé</w:t>
            </w:r>
            <w:r w:rsidR="00D73061">
              <w:rPr>
                <w:sz w:val="24"/>
                <w:szCs w:val="24"/>
              </w:rPr>
              <w:t xml:space="preserve"> </w:t>
            </w:r>
            <w:r>
              <w:rPr>
                <w:sz w:val="24"/>
                <w:szCs w:val="24"/>
              </w:rPr>
              <w:t>(en dollars canadiens de 2025)</w:t>
            </w:r>
          </w:p>
        </w:tc>
      </w:tr>
      <w:tr w:rsidR="004976DD" w:rsidRPr="00DC4B04" w14:paraId="4812327A"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151ADB4A" w14:textId="44D5AF8D" w:rsidR="00C15074" w:rsidRPr="00DC4B04" w:rsidRDefault="00DC4B04" w:rsidP="00C15074">
            <w:pPr>
              <w:spacing w:after="0" w:line="240" w:lineRule="auto"/>
              <w:rPr>
                <w:sz w:val="24"/>
                <w:szCs w:val="24"/>
              </w:rPr>
            </w:pPr>
            <w:r>
              <w:rPr>
                <w:sz w:val="24"/>
                <w:szCs w:val="24"/>
              </w:rPr>
              <w:t>Régime d</w:t>
            </w:r>
            <w:r w:rsidR="003B5177">
              <w:rPr>
                <w:sz w:val="24"/>
                <w:szCs w:val="24"/>
              </w:rPr>
              <w:t>’</w:t>
            </w:r>
            <w:r>
              <w:rPr>
                <w:sz w:val="24"/>
                <w:szCs w:val="24"/>
              </w:rPr>
              <w:t>éducation individualisé (6 189 $ par année pendant 3 ans)</w:t>
            </w:r>
          </w:p>
        </w:tc>
        <w:tc>
          <w:tcPr>
            <w:tcW w:w="3415" w:type="dxa"/>
            <w:tcBorders>
              <w:bottom w:val="single" w:sz="8" w:space="0" w:color="467C81" w:themeColor="accent3"/>
            </w:tcBorders>
          </w:tcPr>
          <w:p w14:paraId="425B6A84" w14:textId="77777777" w:rsidR="00C15074"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18 567 $</w:t>
            </w:r>
          </w:p>
        </w:tc>
      </w:tr>
      <w:tr w:rsidR="004976DD" w:rsidRPr="00DC4B04" w14:paraId="753CEE61"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7D275B11" w14:textId="77777777" w:rsidR="00C15074" w:rsidRPr="00DC4B04" w:rsidRDefault="00DC4B04" w:rsidP="00C15074">
            <w:pPr>
              <w:spacing w:after="0" w:line="240" w:lineRule="auto"/>
              <w:rPr>
                <w:sz w:val="24"/>
                <w:szCs w:val="24"/>
              </w:rPr>
            </w:pPr>
            <w:r>
              <w:rPr>
                <w:sz w:val="24"/>
                <w:szCs w:val="24"/>
              </w:rPr>
              <w:t>Appel de service à la police (176 $ par appel pour 2 appels)</w:t>
            </w:r>
          </w:p>
        </w:tc>
        <w:tc>
          <w:tcPr>
            <w:tcW w:w="3415" w:type="dxa"/>
            <w:tcBorders>
              <w:bottom w:val="single" w:sz="4" w:space="0" w:color="467C81" w:themeColor="accent3"/>
            </w:tcBorders>
          </w:tcPr>
          <w:p w14:paraId="69DD98D4" w14:textId="77777777" w:rsidR="00C15074"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351 $</w:t>
            </w:r>
          </w:p>
        </w:tc>
      </w:tr>
      <w:tr w:rsidR="004976DD" w:rsidRPr="00DC4B04" w14:paraId="0E53E58D"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3D91F89F" w14:textId="77777777" w:rsidR="00C15074" w:rsidRPr="00DC4B04" w:rsidRDefault="00DC4B04" w:rsidP="00C15074">
            <w:pPr>
              <w:spacing w:after="0" w:line="240" w:lineRule="auto"/>
              <w:rPr>
                <w:sz w:val="24"/>
                <w:szCs w:val="24"/>
              </w:rPr>
            </w:pPr>
            <w:r>
              <w:rPr>
                <w:sz w:val="24"/>
                <w:szCs w:val="24"/>
              </w:rPr>
              <w:t>Aide sociale au décrochage scolaire (765,81 $ par mois pour un total de 48 mois entre 17 et 30 ans)</w:t>
            </w:r>
          </w:p>
        </w:tc>
        <w:tc>
          <w:tcPr>
            <w:tcW w:w="3415" w:type="dxa"/>
            <w:tcBorders>
              <w:top w:val="single" w:sz="4" w:space="0" w:color="467C81" w:themeColor="accent3"/>
            </w:tcBorders>
          </w:tcPr>
          <w:p w14:paraId="23FBCF7E" w14:textId="77777777" w:rsidR="00C15074"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36 759 $</w:t>
            </w:r>
          </w:p>
        </w:tc>
      </w:tr>
      <w:tr w:rsidR="004976DD" w:rsidRPr="00DC4B04" w14:paraId="2890A422"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4399FE5B" w14:textId="60D0CB6A" w:rsidR="00C15074" w:rsidRPr="00DC4B04" w:rsidRDefault="00DC4B04" w:rsidP="00C15074">
            <w:pPr>
              <w:spacing w:after="0" w:line="240" w:lineRule="auto"/>
              <w:rPr>
                <w:sz w:val="24"/>
                <w:szCs w:val="24"/>
              </w:rPr>
            </w:pPr>
            <w:r>
              <w:rPr>
                <w:sz w:val="24"/>
                <w:szCs w:val="24"/>
              </w:rPr>
              <w:t>Arrestation d</w:t>
            </w:r>
            <w:r w:rsidR="003B5177">
              <w:rPr>
                <w:sz w:val="24"/>
                <w:szCs w:val="24"/>
              </w:rPr>
              <w:t>’</w:t>
            </w:r>
            <w:r>
              <w:rPr>
                <w:sz w:val="24"/>
                <w:szCs w:val="24"/>
              </w:rPr>
              <w:t>un mineur (677,08 $ par arrestation pour 2 arrestations)</w:t>
            </w:r>
          </w:p>
        </w:tc>
        <w:tc>
          <w:tcPr>
            <w:tcW w:w="3415" w:type="dxa"/>
          </w:tcPr>
          <w:p w14:paraId="05BFC261" w14:textId="77777777" w:rsidR="00C15074"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1 354 $</w:t>
            </w:r>
          </w:p>
        </w:tc>
      </w:tr>
      <w:tr w:rsidR="004976DD" w:rsidRPr="00DC4B04" w14:paraId="2AA712E4"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4FF57C39" w14:textId="77777777" w:rsidR="00C15074" w:rsidRPr="00DC4B04" w:rsidRDefault="00DC4B04" w:rsidP="00C15074">
            <w:pPr>
              <w:spacing w:after="0" w:line="240" w:lineRule="auto"/>
              <w:rPr>
                <w:sz w:val="24"/>
                <w:szCs w:val="24"/>
              </w:rPr>
            </w:pPr>
            <w:r>
              <w:rPr>
                <w:sz w:val="24"/>
                <w:szCs w:val="24"/>
              </w:rPr>
              <w:t>Comparution devant le tribunal de la jeunesse (1 650,83 $ par comparution pour 2 comparutions)</w:t>
            </w:r>
          </w:p>
        </w:tc>
        <w:tc>
          <w:tcPr>
            <w:tcW w:w="3415" w:type="dxa"/>
          </w:tcPr>
          <w:p w14:paraId="17AB88AD" w14:textId="77777777" w:rsidR="00C15074"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3 302 $</w:t>
            </w:r>
          </w:p>
        </w:tc>
      </w:tr>
      <w:tr w:rsidR="004976DD" w:rsidRPr="00DC4B04" w14:paraId="3B6269D0"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668C7796" w14:textId="77777777" w:rsidR="00C15074" w:rsidRPr="00DC4B04" w:rsidRDefault="00DC4B04" w:rsidP="00C15074">
            <w:pPr>
              <w:spacing w:after="0" w:line="240" w:lineRule="auto"/>
              <w:rPr>
                <w:sz w:val="24"/>
                <w:szCs w:val="24"/>
              </w:rPr>
            </w:pPr>
            <w:r>
              <w:rPr>
                <w:sz w:val="24"/>
                <w:szCs w:val="24"/>
              </w:rPr>
              <w:t>Présence de la police au tribunal (443,10 $ par comparution pour 3 comparutions)</w:t>
            </w:r>
          </w:p>
        </w:tc>
        <w:tc>
          <w:tcPr>
            <w:tcW w:w="3415" w:type="dxa"/>
          </w:tcPr>
          <w:p w14:paraId="35D4AFA0" w14:textId="77777777" w:rsidR="00C15074"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1 329 $</w:t>
            </w:r>
          </w:p>
        </w:tc>
      </w:tr>
      <w:tr w:rsidR="004976DD" w:rsidRPr="00DC4B04" w14:paraId="4E731E21"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49821E7D" w14:textId="77777777" w:rsidR="003A5F20" w:rsidRPr="00DC4B04" w:rsidRDefault="00DC4B04" w:rsidP="003A5F20">
            <w:pPr>
              <w:spacing w:after="0" w:line="240" w:lineRule="auto"/>
              <w:rPr>
                <w:sz w:val="24"/>
                <w:szCs w:val="24"/>
              </w:rPr>
            </w:pPr>
            <w:r>
              <w:rPr>
                <w:sz w:val="24"/>
                <w:szCs w:val="24"/>
              </w:rPr>
              <w:t>Surveillance de probation (23,21 $ par jour pendant 240 jours)</w:t>
            </w:r>
          </w:p>
        </w:tc>
        <w:tc>
          <w:tcPr>
            <w:tcW w:w="3415" w:type="dxa"/>
          </w:tcPr>
          <w:p w14:paraId="1FD877A8" w14:textId="77777777" w:rsidR="003A5F2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5 570 $</w:t>
            </w:r>
          </w:p>
        </w:tc>
      </w:tr>
      <w:tr w:rsidR="004976DD" w:rsidRPr="00DC4B04" w14:paraId="037F4C3D"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3157B760" w14:textId="77777777" w:rsidR="003A5F20" w:rsidRPr="00DC4B04" w:rsidRDefault="00DC4B04" w:rsidP="003A5F20">
            <w:pPr>
              <w:spacing w:after="0" w:line="240" w:lineRule="auto"/>
              <w:rPr>
                <w:sz w:val="24"/>
                <w:szCs w:val="24"/>
              </w:rPr>
            </w:pPr>
            <w:r>
              <w:rPr>
                <w:sz w:val="24"/>
                <w:szCs w:val="24"/>
              </w:rPr>
              <w:t>Voies de fait (5 718,14 $ par voie de fait pour 2 voies de fait)</w:t>
            </w:r>
          </w:p>
        </w:tc>
        <w:tc>
          <w:tcPr>
            <w:tcW w:w="3415" w:type="dxa"/>
          </w:tcPr>
          <w:p w14:paraId="0D229A1F" w14:textId="77777777" w:rsidR="003A5F2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11 436 $</w:t>
            </w:r>
          </w:p>
        </w:tc>
      </w:tr>
      <w:tr w:rsidR="004976DD" w:rsidRPr="00DC4B04" w14:paraId="11CA9D5A"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459C83BF" w14:textId="77777777" w:rsidR="003A5F20" w:rsidRPr="00DC4B04" w:rsidRDefault="00DC4B04" w:rsidP="003A5F20">
            <w:pPr>
              <w:spacing w:after="0" w:line="240" w:lineRule="auto"/>
              <w:rPr>
                <w:sz w:val="24"/>
                <w:szCs w:val="24"/>
              </w:rPr>
            </w:pPr>
            <w:r>
              <w:rPr>
                <w:sz w:val="24"/>
                <w:szCs w:val="24"/>
              </w:rPr>
              <w:t>Établissement de garde pour adolescents (253,12 $ par jour pendant 120 jours)</w:t>
            </w:r>
          </w:p>
        </w:tc>
        <w:tc>
          <w:tcPr>
            <w:tcW w:w="3415" w:type="dxa"/>
          </w:tcPr>
          <w:p w14:paraId="20770A15" w14:textId="77777777" w:rsidR="003A5F2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30 374 $</w:t>
            </w:r>
          </w:p>
        </w:tc>
      </w:tr>
      <w:tr w:rsidR="004976DD" w:rsidRPr="00DC4B04" w14:paraId="7DCAE7CA"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25033161" w14:textId="77777777" w:rsidR="003A5F20" w:rsidRPr="00DC4B04" w:rsidRDefault="00DC4B04" w:rsidP="003A5F20">
            <w:pPr>
              <w:spacing w:after="0" w:line="240" w:lineRule="auto"/>
              <w:jc w:val="right"/>
              <w:rPr>
                <w:b/>
                <w:bCs/>
                <w:sz w:val="24"/>
                <w:szCs w:val="24"/>
              </w:rPr>
            </w:pPr>
            <w:r>
              <w:rPr>
                <w:b/>
                <w:bCs/>
                <w:sz w:val="24"/>
                <w:szCs w:val="24"/>
              </w:rPr>
              <w:t>Total de la période</w:t>
            </w:r>
          </w:p>
        </w:tc>
        <w:tc>
          <w:tcPr>
            <w:tcW w:w="3415" w:type="dxa"/>
          </w:tcPr>
          <w:p w14:paraId="068A2C1C" w14:textId="77777777" w:rsidR="003A5F2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109 044 $</w:t>
            </w:r>
          </w:p>
        </w:tc>
      </w:tr>
    </w:tbl>
    <w:p w14:paraId="6C2B245F" w14:textId="77777777" w:rsidR="00CD5DC0" w:rsidRPr="00DC4B04" w:rsidRDefault="00CD5DC0" w:rsidP="00CD5DC0">
      <w:pPr>
        <w:spacing w:after="0"/>
      </w:pPr>
    </w:p>
    <w:p w14:paraId="4E1F313E" w14:textId="65C6F748" w:rsidR="00CD5DC0" w:rsidRPr="00DC4B04" w:rsidRDefault="00DC4B04" w:rsidP="00CD5DC0">
      <w:pPr>
        <w:pStyle w:val="Caption"/>
        <w:keepNext/>
        <w:rPr>
          <w:sz w:val="24"/>
          <w:szCs w:val="24"/>
        </w:rPr>
      </w:pPr>
      <w:r>
        <w:rPr>
          <w:sz w:val="24"/>
          <w:szCs w:val="24"/>
        </w:rPr>
        <w:t xml:space="preserve">Tableau </w:t>
      </w:r>
      <w:r w:rsidRPr="00DC4B04">
        <w:rPr>
          <w:sz w:val="24"/>
          <w:szCs w:val="24"/>
        </w:rPr>
        <w:fldChar w:fldCharType="begin"/>
      </w:r>
      <w:r w:rsidRPr="00DC4B04">
        <w:rPr>
          <w:sz w:val="24"/>
          <w:szCs w:val="24"/>
        </w:rPr>
        <w:instrText xml:space="preserve"> SEQ Table \* ARABIC </w:instrText>
      </w:r>
      <w:r w:rsidRPr="00DC4B04">
        <w:rPr>
          <w:sz w:val="24"/>
          <w:szCs w:val="24"/>
        </w:rPr>
        <w:fldChar w:fldCharType="separate"/>
      </w:r>
      <w:r w:rsidR="00784C8F">
        <w:rPr>
          <w:noProof/>
          <w:sz w:val="24"/>
          <w:szCs w:val="24"/>
        </w:rPr>
        <w:t>6</w:t>
      </w:r>
      <w:r w:rsidRPr="00DC4B04">
        <w:rPr>
          <w:sz w:val="24"/>
          <w:szCs w:val="24"/>
        </w:rPr>
        <w:fldChar w:fldCharType="end"/>
      </w:r>
      <w:r>
        <w:rPr>
          <w:sz w:val="24"/>
          <w:szCs w:val="24"/>
        </w:rPr>
        <w:t> : Établissement des coûts des postes pour 18 ans et plus</w:t>
      </w:r>
    </w:p>
    <w:tbl>
      <w:tblPr>
        <w:tblStyle w:val="RD"/>
        <w:tblW w:w="0" w:type="auto"/>
        <w:tblLook w:val="04A0" w:firstRow="1" w:lastRow="0" w:firstColumn="1" w:lastColumn="0" w:noHBand="0" w:noVBand="1"/>
      </w:tblPr>
      <w:tblGrid>
        <w:gridCol w:w="5935"/>
        <w:gridCol w:w="3415"/>
      </w:tblGrid>
      <w:tr w:rsidR="004976DD" w:rsidRPr="00DC4B04" w14:paraId="3F29CE53" w14:textId="77777777" w:rsidTr="004976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1DB1048C" w14:textId="77777777" w:rsidR="00CD5DC0" w:rsidRPr="00DC4B04" w:rsidRDefault="00DC4B04" w:rsidP="007314DE">
            <w:pPr>
              <w:spacing w:after="0" w:line="240" w:lineRule="auto"/>
              <w:rPr>
                <w:sz w:val="24"/>
                <w:szCs w:val="24"/>
              </w:rPr>
            </w:pPr>
            <w:r>
              <w:rPr>
                <w:sz w:val="24"/>
                <w:szCs w:val="24"/>
              </w:rPr>
              <w:t>Poste</w:t>
            </w:r>
          </w:p>
        </w:tc>
        <w:tc>
          <w:tcPr>
            <w:tcW w:w="3415" w:type="dxa"/>
          </w:tcPr>
          <w:p w14:paraId="73C09BE6" w14:textId="1830A64E" w:rsidR="00CD5DC0" w:rsidRPr="00DC4B04" w:rsidRDefault="00DC4B04" w:rsidP="00C36E2F">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Coût total calculé</w:t>
            </w:r>
            <w:r w:rsidR="00D73061">
              <w:rPr>
                <w:sz w:val="24"/>
                <w:szCs w:val="24"/>
              </w:rPr>
              <w:t xml:space="preserve"> </w:t>
            </w:r>
            <w:r>
              <w:rPr>
                <w:sz w:val="24"/>
                <w:szCs w:val="24"/>
              </w:rPr>
              <w:t>(en dollars canadiens de 2025)</w:t>
            </w:r>
          </w:p>
        </w:tc>
      </w:tr>
      <w:tr w:rsidR="004976DD" w:rsidRPr="00DC4B04" w14:paraId="6C4751DE"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41DD2516" w14:textId="77777777" w:rsidR="003D31AE" w:rsidRPr="00DC4B04" w:rsidRDefault="00DC4B04" w:rsidP="003D31AE">
            <w:pPr>
              <w:spacing w:after="0" w:line="240" w:lineRule="auto"/>
              <w:rPr>
                <w:sz w:val="24"/>
                <w:szCs w:val="24"/>
              </w:rPr>
            </w:pPr>
            <w:r>
              <w:rPr>
                <w:sz w:val="24"/>
                <w:szCs w:val="24"/>
              </w:rPr>
              <w:t>Appel de service de la police (175,62 $ par appel pour 3 appels)</w:t>
            </w:r>
          </w:p>
        </w:tc>
        <w:tc>
          <w:tcPr>
            <w:tcW w:w="3415" w:type="dxa"/>
          </w:tcPr>
          <w:p w14:paraId="5BE49C26" w14:textId="77777777" w:rsidR="003D31AE"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527 $</w:t>
            </w:r>
          </w:p>
        </w:tc>
      </w:tr>
      <w:tr w:rsidR="004976DD" w:rsidRPr="00DC4B04" w14:paraId="325EE0CB"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071C995A" w14:textId="58CD8528" w:rsidR="003D31AE" w:rsidRPr="00DC4B04" w:rsidRDefault="00DC4B04" w:rsidP="003D31AE">
            <w:pPr>
              <w:spacing w:after="0" w:line="240" w:lineRule="auto"/>
              <w:rPr>
                <w:sz w:val="24"/>
                <w:szCs w:val="24"/>
              </w:rPr>
            </w:pPr>
            <w:r>
              <w:rPr>
                <w:sz w:val="24"/>
                <w:szCs w:val="24"/>
              </w:rPr>
              <w:t>Arrestation d</w:t>
            </w:r>
            <w:r w:rsidR="003B5177">
              <w:rPr>
                <w:sz w:val="24"/>
                <w:szCs w:val="24"/>
              </w:rPr>
              <w:t>’</w:t>
            </w:r>
            <w:r>
              <w:rPr>
                <w:sz w:val="24"/>
                <w:szCs w:val="24"/>
              </w:rPr>
              <w:t>un adulte (3 205,54 $ par arrestation pour 3 arrestations)</w:t>
            </w:r>
          </w:p>
        </w:tc>
        <w:tc>
          <w:tcPr>
            <w:tcW w:w="3415" w:type="dxa"/>
          </w:tcPr>
          <w:p w14:paraId="6F33D427" w14:textId="77777777" w:rsidR="003D31AE"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9 617 $</w:t>
            </w:r>
          </w:p>
        </w:tc>
      </w:tr>
      <w:tr w:rsidR="004976DD" w:rsidRPr="00DC4B04" w14:paraId="23A2115A"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7CE292B3" w14:textId="6D836851" w:rsidR="003D31AE" w:rsidRPr="00DC4B04" w:rsidRDefault="00DC4B04" w:rsidP="003D31AE">
            <w:pPr>
              <w:spacing w:after="0" w:line="240" w:lineRule="auto"/>
              <w:rPr>
                <w:sz w:val="24"/>
                <w:szCs w:val="24"/>
              </w:rPr>
            </w:pPr>
            <w:r>
              <w:rPr>
                <w:sz w:val="24"/>
                <w:szCs w:val="24"/>
              </w:rPr>
              <w:t>Comparution d</w:t>
            </w:r>
            <w:r w:rsidR="003B5177">
              <w:rPr>
                <w:sz w:val="24"/>
                <w:szCs w:val="24"/>
              </w:rPr>
              <w:t>’</w:t>
            </w:r>
            <w:r>
              <w:rPr>
                <w:sz w:val="24"/>
                <w:szCs w:val="24"/>
              </w:rPr>
              <w:t>un adulte (8 987,04 $ par comparution pour 4 comparutions)</w:t>
            </w:r>
          </w:p>
        </w:tc>
        <w:tc>
          <w:tcPr>
            <w:tcW w:w="3415" w:type="dxa"/>
          </w:tcPr>
          <w:p w14:paraId="1B22DDC2" w14:textId="77777777" w:rsidR="003D31AE"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35 948 $</w:t>
            </w:r>
          </w:p>
        </w:tc>
      </w:tr>
      <w:tr w:rsidR="004976DD" w:rsidRPr="00DC4B04" w14:paraId="50AC2CDB"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1B80742D" w14:textId="77777777" w:rsidR="003D31AE" w:rsidRPr="00DC4B04" w:rsidRDefault="00DC4B04" w:rsidP="003D31AE">
            <w:pPr>
              <w:spacing w:after="0" w:line="240" w:lineRule="auto"/>
              <w:rPr>
                <w:sz w:val="24"/>
                <w:szCs w:val="24"/>
              </w:rPr>
            </w:pPr>
            <w:r>
              <w:rPr>
                <w:sz w:val="24"/>
                <w:szCs w:val="24"/>
              </w:rPr>
              <w:t>Présence de la police au tribunal (443,10 $ par comparution pour 4 comparutions)</w:t>
            </w:r>
          </w:p>
        </w:tc>
        <w:tc>
          <w:tcPr>
            <w:tcW w:w="3415" w:type="dxa"/>
          </w:tcPr>
          <w:p w14:paraId="29F5AAF4" w14:textId="77777777" w:rsidR="003D31AE"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1 772 $</w:t>
            </w:r>
          </w:p>
        </w:tc>
      </w:tr>
      <w:tr w:rsidR="004976DD" w:rsidRPr="00DC4B04" w14:paraId="6A28C32A"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78419BB5" w14:textId="653C63FC" w:rsidR="003D31AE" w:rsidRPr="00DC4B04" w:rsidRDefault="00DC4B04" w:rsidP="003D31AE">
            <w:pPr>
              <w:spacing w:after="0" w:line="240" w:lineRule="auto"/>
              <w:rPr>
                <w:sz w:val="24"/>
                <w:szCs w:val="24"/>
              </w:rPr>
            </w:pPr>
            <w:r>
              <w:rPr>
                <w:sz w:val="24"/>
                <w:szCs w:val="24"/>
              </w:rPr>
              <w:t>Infraction ou enquête sur les drogues (3 861,85 $ par infraction ou intention d</w:t>
            </w:r>
            <w:r w:rsidR="003B5177">
              <w:rPr>
                <w:sz w:val="24"/>
                <w:szCs w:val="24"/>
              </w:rPr>
              <w:t>’</w:t>
            </w:r>
            <w:r>
              <w:rPr>
                <w:sz w:val="24"/>
                <w:szCs w:val="24"/>
              </w:rPr>
              <w:t>en faire le trafic pour 2 infractions ou intention d</w:t>
            </w:r>
            <w:r w:rsidR="003B5177">
              <w:rPr>
                <w:sz w:val="24"/>
                <w:szCs w:val="24"/>
              </w:rPr>
              <w:t>’</w:t>
            </w:r>
            <w:r>
              <w:rPr>
                <w:sz w:val="24"/>
                <w:szCs w:val="24"/>
              </w:rPr>
              <w:t>en faire le trafic)</w:t>
            </w:r>
          </w:p>
        </w:tc>
        <w:tc>
          <w:tcPr>
            <w:tcW w:w="3415" w:type="dxa"/>
          </w:tcPr>
          <w:p w14:paraId="07FF59E8" w14:textId="77777777" w:rsidR="003D31AE"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7 724 $</w:t>
            </w:r>
          </w:p>
        </w:tc>
      </w:tr>
      <w:tr w:rsidR="004976DD" w:rsidRPr="00DC4B04" w14:paraId="7EAEB16E"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38D410B4" w14:textId="77777777" w:rsidR="003A5F20" w:rsidRPr="00DC4B04" w:rsidRDefault="00DC4B04" w:rsidP="003D31AE">
            <w:pPr>
              <w:spacing w:after="0" w:line="240" w:lineRule="auto"/>
              <w:rPr>
                <w:sz w:val="24"/>
                <w:szCs w:val="24"/>
              </w:rPr>
            </w:pPr>
            <w:r>
              <w:rPr>
                <w:sz w:val="24"/>
                <w:szCs w:val="24"/>
              </w:rPr>
              <w:t>Garde provinciale (340,59 $ par jour pendant 1 030 jours)</w:t>
            </w:r>
          </w:p>
        </w:tc>
        <w:tc>
          <w:tcPr>
            <w:tcW w:w="3415" w:type="dxa"/>
          </w:tcPr>
          <w:p w14:paraId="3A919931" w14:textId="77777777" w:rsidR="003A5F2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350 808 $</w:t>
            </w:r>
          </w:p>
        </w:tc>
      </w:tr>
      <w:tr w:rsidR="004976DD" w:rsidRPr="00DC4B04" w14:paraId="1E99734B"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0ED9D7DA" w14:textId="77777777" w:rsidR="003A5F20" w:rsidRPr="00DC4B04" w:rsidRDefault="00DC4B04" w:rsidP="003D31AE">
            <w:pPr>
              <w:spacing w:after="0" w:line="240" w:lineRule="auto"/>
              <w:rPr>
                <w:sz w:val="24"/>
                <w:szCs w:val="24"/>
              </w:rPr>
            </w:pPr>
            <w:r>
              <w:rPr>
                <w:sz w:val="24"/>
                <w:szCs w:val="24"/>
              </w:rPr>
              <w:t>Surveillance de probation (23,21 $ par jour pendant 12 130 jours)</w:t>
            </w:r>
          </w:p>
        </w:tc>
        <w:tc>
          <w:tcPr>
            <w:tcW w:w="3415" w:type="dxa"/>
          </w:tcPr>
          <w:p w14:paraId="563A88A8" w14:textId="77777777" w:rsidR="003A5F20"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281 537 $</w:t>
            </w:r>
          </w:p>
        </w:tc>
      </w:tr>
      <w:tr w:rsidR="004976DD" w:rsidRPr="00DC4B04" w14:paraId="662E19EB"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7FE8CB0D" w14:textId="77777777" w:rsidR="003D31AE" w:rsidRPr="00DC4B04" w:rsidRDefault="00DC4B04" w:rsidP="003D31AE">
            <w:pPr>
              <w:spacing w:after="0" w:line="240" w:lineRule="auto"/>
              <w:rPr>
                <w:sz w:val="24"/>
                <w:szCs w:val="24"/>
              </w:rPr>
            </w:pPr>
            <w:r>
              <w:rPr>
                <w:sz w:val="24"/>
                <w:szCs w:val="24"/>
              </w:rPr>
              <w:t>Voies de fait (5 718,14 $ par voie de fait pour 2 voies de fait)</w:t>
            </w:r>
          </w:p>
        </w:tc>
        <w:tc>
          <w:tcPr>
            <w:tcW w:w="3415" w:type="dxa"/>
          </w:tcPr>
          <w:p w14:paraId="20C2A484" w14:textId="77777777" w:rsidR="0051211C"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11 436 $</w:t>
            </w:r>
          </w:p>
        </w:tc>
      </w:tr>
      <w:tr w:rsidR="004976DD" w:rsidRPr="00DC4B04" w14:paraId="7E875522"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11A52E88" w14:textId="77777777" w:rsidR="003D31AE" w:rsidRPr="00DC4B04" w:rsidRDefault="00DC4B04" w:rsidP="003D31AE">
            <w:pPr>
              <w:spacing w:after="0" w:line="240" w:lineRule="auto"/>
              <w:rPr>
                <w:sz w:val="24"/>
                <w:szCs w:val="24"/>
              </w:rPr>
            </w:pPr>
            <w:r>
              <w:rPr>
                <w:sz w:val="24"/>
                <w:szCs w:val="24"/>
              </w:rPr>
              <w:t>Voies de fait graves</w:t>
            </w:r>
          </w:p>
        </w:tc>
        <w:tc>
          <w:tcPr>
            <w:tcW w:w="3415" w:type="dxa"/>
            <w:tcBorders>
              <w:bottom w:val="single" w:sz="8" w:space="0" w:color="467C81" w:themeColor="accent3"/>
            </w:tcBorders>
          </w:tcPr>
          <w:p w14:paraId="08F6C8F0" w14:textId="77777777" w:rsidR="003D31AE"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20 097 $</w:t>
            </w:r>
          </w:p>
        </w:tc>
      </w:tr>
      <w:tr w:rsidR="004976DD" w:rsidRPr="00DC4B04" w14:paraId="0E5DDF7C"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28D9F12A" w14:textId="77777777" w:rsidR="001030DF" w:rsidRPr="00DC4B04" w:rsidRDefault="00DC4B04" w:rsidP="003D31AE">
            <w:pPr>
              <w:spacing w:after="0" w:line="240" w:lineRule="auto"/>
              <w:rPr>
                <w:sz w:val="24"/>
                <w:szCs w:val="24"/>
              </w:rPr>
            </w:pPr>
            <w:r>
              <w:rPr>
                <w:sz w:val="24"/>
                <w:szCs w:val="24"/>
              </w:rPr>
              <w:t>Voies de fait causant des lésions corporelles</w:t>
            </w:r>
          </w:p>
        </w:tc>
        <w:tc>
          <w:tcPr>
            <w:tcW w:w="3415" w:type="dxa"/>
            <w:tcBorders>
              <w:bottom w:val="single" w:sz="4" w:space="0" w:color="467C81" w:themeColor="accent3"/>
            </w:tcBorders>
          </w:tcPr>
          <w:p w14:paraId="4C059CD1" w14:textId="77777777" w:rsidR="001030DF"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20 097 $</w:t>
            </w:r>
          </w:p>
        </w:tc>
      </w:tr>
      <w:tr w:rsidR="004976DD" w:rsidRPr="00DC4B04" w14:paraId="48D3D750"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42535E8E" w14:textId="77777777" w:rsidR="001030DF" w:rsidRPr="00DC4B04" w:rsidRDefault="00DC4B04" w:rsidP="003D31AE">
            <w:pPr>
              <w:spacing w:after="0" w:line="240" w:lineRule="auto"/>
              <w:rPr>
                <w:sz w:val="24"/>
                <w:szCs w:val="24"/>
              </w:rPr>
            </w:pPr>
            <w:r>
              <w:rPr>
                <w:sz w:val="24"/>
                <w:szCs w:val="24"/>
              </w:rPr>
              <w:t>Menaces</w:t>
            </w:r>
          </w:p>
        </w:tc>
        <w:tc>
          <w:tcPr>
            <w:tcW w:w="3415" w:type="dxa"/>
            <w:tcBorders>
              <w:top w:val="single" w:sz="4" w:space="0" w:color="467C81" w:themeColor="accent3"/>
            </w:tcBorders>
          </w:tcPr>
          <w:p w14:paraId="135F4481" w14:textId="77777777" w:rsidR="001030DF"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5 087 $</w:t>
            </w:r>
          </w:p>
        </w:tc>
      </w:tr>
      <w:tr w:rsidR="004976DD" w:rsidRPr="00DC4B04" w14:paraId="2079AA4D"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01F7F8B9" w14:textId="77777777" w:rsidR="001030DF" w:rsidRPr="00DC4B04" w:rsidRDefault="00DC4B04" w:rsidP="001030DF">
            <w:pPr>
              <w:spacing w:after="0" w:line="240" w:lineRule="auto"/>
              <w:rPr>
                <w:sz w:val="24"/>
                <w:szCs w:val="24"/>
              </w:rPr>
            </w:pPr>
            <w:r>
              <w:rPr>
                <w:sz w:val="24"/>
                <w:szCs w:val="24"/>
              </w:rPr>
              <w:t>Prison fédérale (447,16 $ par jour pendant 850 jours)</w:t>
            </w:r>
          </w:p>
        </w:tc>
        <w:tc>
          <w:tcPr>
            <w:tcW w:w="3415" w:type="dxa"/>
          </w:tcPr>
          <w:p w14:paraId="210D90D3" w14:textId="77777777" w:rsidR="0051211C"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380 086 $</w:t>
            </w:r>
          </w:p>
        </w:tc>
      </w:tr>
      <w:tr w:rsidR="004976DD" w:rsidRPr="00DC4B04" w14:paraId="525950DB" w14:textId="77777777" w:rsidTr="004976DD">
        <w:tc>
          <w:tcPr>
            <w:cnfStyle w:val="001000000000" w:firstRow="0" w:lastRow="0" w:firstColumn="1" w:lastColumn="0" w:oddVBand="0" w:evenVBand="0" w:oddHBand="0" w:evenHBand="0" w:firstRowFirstColumn="0" w:firstRowLastColumn="0" w:lastRowFirstColumn="0" w:lastRowLastColumn="0"/>
            <w:tcW w:w="5935" w:type="dxa"/>
          </w:tcPr>
          <w:p w14:paraId="76870690" w14:textId="77777777" w:rsidR="001030DF" w:rsidRPr="00D2687C" w:rsidRDefault="00DC4B04" w:rsidP="00D2687C">
            <w:pPr>
              <w:spacing w:after="0" w:line="240" w:lineRule="auto"/>
              <w:jc w:val="right"/>
              <w:rPr>
                <w:b/>
                <w:bCs/>
                <w:sz w:val="24"/>
                <w:szCs w:val="24"/>
              </w:rPr>
            </w:pPr>
            <w:r w:rsidRPr="00D2687C">
              <w:rPr>
                <w:b/>
                <w:bCs/>
                <w:sz w:val="24"/>
                <w:szCs w:val="24"/>
              </w:rPr>
              <w:t>Total de la période</w:t>
            </w:r>
          </w:p>
        </w:tc>
        <w:tc>
          <w:tcPr>
            <w:tcW w:w="3415" w:type="dxa"/>
          </w:tcPr>
          <w:p w14:paraId="3513C42A" w14:textId="03505655" w:rsidR="001030DF" w:rsidRPr="00DC4B04" w:rsidRDefault="00DC4B04" w:rsidP="00C36E2F">
            <w:pPr>
              <w:spacing w:after="0" w:line="240" w:lineRule="auto"/>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1 124 73</w:t>
            </w:r>
            <w:r w:rsidR="00D2687C">
              <w:rPr>
                <w:b/>
                <w:bCs/>
                <w:sz w:val="24"/>
                <w:szCs w:val="24"/>
              </w:rPr>
              <w:t>8</w:t>
            </w:r>
            <w:r>
              <w:rPr>
                <w:b/>
                <w:bCs/>
                <w:sz w:val="24"/>
                <w:szCs w:val="24"/>
              </w:rPr>
              <w:t> $</w:t>
            </w:r>
          </w:p>
        </w:tc>
      </w:tr>
    </w:tbl>
    <w:p w14:paraId="477FB3FB" w14:textId="77777777" w:rsidR="00C80AFA" w:rsidRPr="00DC4B04" w:rsidRDefault="00C80AFA" w:rsidP="00C80AFA">
      <w:pPr>
        <w:pStyle w:val="Heading2"/>
        <w:sectPr w:rsidR="00C80AFA" w:rsidRPr="00DC4B04" w:rsidSect="008C3A80">
          <w:headerReference w:type="default" r:id="rId29"/>
          <w:footerReference w:type="default" r:id="rId30"/>
          <w:headerReference w:type="first" r:id="rId31"/>
          <w:footerReference w:type="first" r:id="rId32"/>
          <w:pgSz w:w="12240" w:h="15840" w:code="1"/>
          <w:pgMar w:top="1440" w:right="1440" w:bottom="1440" w:left="1440" w:header="720" w:footer="0" w:gutter="0"/>
          <w:cols w:space="720"/>
          <w:titlePg/>
          <w:docGrid w:linePitch="360"/>
        </w:sectPr>
      </w:pPr>
    </w:p>
    <w:p w14:paraId="09287689" w14:textId="77777777" w:rsidR="00C80AFA" w:rsidRPr="00DC4B04" w:rsidRDefault="00DC4B04" w:rsidP="00C80AFA">
      <w:pPr>
        <w:pStyle w:val="Heading2"/>
      </w:pPr>
      <w:bookmarkStart w:id="13" w:name="_Toc206140389"/>
      <w:r>
        <w:t>Annexe B : Éléments de coûts</w:t>
      </w:r>
      <w:bookmarkEnd w:id="13"/>
      <w:r>
        <w:t xml:space="preserve"> </w:t>
      </w:r>
    </w:p>
    <w:tbl>
      <w:tblPr>
        <w:tblStyle w:val="RD"/>
        <w:tblW w:w="13205" w:type="dxa"/>
        <w:tblLook w:val="04A0" w:firstRow="1" w:lastRow="0" w:firstColumn="1" w:lastColumn="0" w:noHBand="0" w:noVBand="1"/>
      </w:tblPr>
      <w:tblGrid>
        <w:gridCol w:w="2552"/>
        <w:gridCol w:w="2835"/>
        <w:gridCol w:w="7818"/>
      </w:tblGrid>
      <w:tr w:rsidR="004976DD" w:rsidRPr="00DC4B04" w14:paraId="22065AA5" w14:textId="77777777" w:rsidTr="00D73061">
        <w:trPr>
          <w:cnfStyle w:val="100000000000" w:firstRow="1" w:lastRow="0" w:firstColumn="0" w:lastColumn="0" w:oddVBand="0" w:evenVBand="0" w:oddHBand="0" w:evenHBand="0" w:firstRowFirstColumn="0" w:firstRowLastColumn="0" w:lastRowFirstColumn="0" w:lastRowLastColumn="0"/>
          <w:trHeight w:val="751"/>
        </w:trPr>
        <w:tc>
          <w:tcPr>
            <w:cnfStyle w:val="001000000000" w:firstRow="0" w:lastRow="0" w:firstColumn="1" w:lastColumn="0" w:oddVBand="0" w:evenVBand="0" w:oddHBand="0" w:evenHBand="0" w:firstRowFirstColumn="0" w:firstRowLastColumn="0" w:lastRowFirstColumn="0" w:lastRowLastColumn="0"/>
            <w:tcW w:w="2552" w:type="dxa"/>
          </w:tcPr>
          <w:p w14:paraId="70580AC8" w14:textId="77777777" w:rsidR="00C80AFA" w:rsidRPr="00DC4B04" w:rsidRDefault="00DC4B04" w:rsidP="00726F95">
            <w:pPr>
              <w:spacing w:after="0" w:line="240" w:lineRule="auto"/>
              <w:rPr>
                <w:sz w:val="24"/>
                <w:szCs w:val="24"/>
              </w:rPr>
            </w:pPr>
            <w:r>
              <w:rPr>
                <w:sz w:val="24"/>
                <w:szCs w:val="24"/>
              </w:rPr>
              <w:t>Poste</w:t>
            </w:r>
          </w:p>
        </w:tc>
        <w:tc>
          <w:tcPr>
            <w:tcW w:w="2835" w:type="dxa"/>
          </w:tcPr>
          <w:p w14:paraId="7CA29084" w14:textId="77777777" w:rsidR="00C80AFA" w:rsidRPr="00DC4B04" w:rsidRDefault="00DC4B04" w:rsidP="00726F95">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Coûts (en dollars canadiens de 2025)</w:t>
            </w:r>
          </w:p>
        </w:tc>
        <w:tc>
          <w:tcPr>
            <w:tcW w:w="7818" w:type="dxa"/>
          </w:tcPr>
          <w:p w14:paraId="038F0D85" w14:textId="77777777" w:rsidR="00C80AFA" w:rsidRPr="00DC4B04" w:rsidRDefault="00DC4B04" w:rsidP="00726F95">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Description et source</w:t>
            </w:r>
          </w:p>
        </w:tc>
      </w:tr>
      <w:tr w:rsidR="004976DD" w:rsidRPr="00DC4B04" w14:paraId="2FAA6CB1"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68D02FAD" w14:textId="77777777" w:rsidR="00C80AFA" w:rsidRPr="00DC4B04" w:rsidRDefault="00DC4B04" w:rsidP="00726F95">
            <w:pPr>
              <w:spacing w:after="0" w:line="240" w:lineRule="auto"/>
              <w:rPr>
                <w:sz w:val="24"/>
                <w:szCs w:val="24"/>
              </w:rPr>
            </w:pPr>
            <w:r>
              <w:rPr>
                <w:sz w:val="24"/>
                <w:szCs w:val="24"/>
              </w:rPr>
              <w:t>Appel de service de la police</w:t>
            </w:r>
          </w:p>
        </w:tc>
        <w:tc>
          <w:tcPr>
            <w:tcW w:w="2835" w:type="dxa"/>
          </w:tcPr>
          <w:p w14:paraId="15C1E17B" w14:textId="77777777" w:rsidR="00C80AF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175,62 $</w:t>
            </w:r>
          </w:p>
        </w:tc>
        <w:tc>
          <w:tcPr>
            <w:tcW w:w="7818" w:type="dxa"/>
          </w:tcPr>
          <w:p w14:paraId="49F3F929" w14:textId="3553A3D9" w:rsidR="00C80AFA" w:rsidRPr="00DC4B04" w:rsidRDefault="00DC4B04" w:rsidP="00726F95">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Calculé à partir du coût foncier estimatif pour 2024 (348 $) du tableau comparatif des coûts des services de police municipaux de la Police provinciale de l</w:t>
            </w:r>
            <w:r w:rsidR="003B5177">
              <w:rPr>
                <w:sz w:val="24"/>
                <w:szCs w:val="24"/>
              </w:rPr>
              <w:t>’</w:t>
            </w:r>
            <w:r>
              <w:rPr>
                <w:sz w:val="24"/>
                <w:szCs w:val="24"/>
              </w:rPr>
              <w:t>Ontario (Police provinciale de l</w:t>
            </w:r>
            <w:r w:rsidR="003B5177">
              <w:rPr>
                <w:sz w:val="24"/>
                <w:szCs w:val="24"/>
              </w:rPr>
              <w:t>’</w:t>
            </w:r>
            <w:r>
              <w:rPr>
                <w:sz w:val="24"/>
                <w:szCs w:val="24"/>
              </w:rPr>
              <w:t>Ontario, 2025), multiplié par la proportion de la charge de travail municipale dans les détachements représentée par les appels de service en 2024. Par conséquent, le coût d</w:t>
            </w:r>
            <w:r w:rsidR="003B5177">
              <w:rPr>
                <w:sz w:val="24"/>
                <w:szCs w:val="24"/>
              </w:rPr>
              <w:t>’</w:t>
            </w:r>
            <w:r>
              <w:rPr>
                <w:sz w:val="24"/>
                <w:szCs w:val="24"/>
              </w:rPr>
              <w:t xml:space="preserve">un appel de service de la police était de 348*0,496 = 172,62 $ (par appel) en 2024. </w:t>
            </w:r>
          </w:p>
        </w:tc>
      </w:tr>
      <w:tr w:rsidR="004976DD" w:rsidRPr="00DC4B04" w14:paraId="257E5A80"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38189120" w14:textId="71137F1A" w:rsidR="00C80AFA" w:rsidRPr="00DC4B04" w:rsidRDefault="00DC4B04" w:rsidP="00726F95">
            <w:pPr>
              <w:spacing w:after="0" w:line="240" w:lineRule="auto"/>
              <w:rPr>
                <w:sz w:val="24"/>
                <w:szCs w:val="24"/>
              </w:rPr>
            </w:pPr>
            <w:r>
              <w:rPr>
                <w:sz w:val="24"/>
                <w:szCs w:val="24"/>
              </w:rPr>
              <w:t>Enquête des services à l</w:t>
            </w:r>
            <w:r w:rsidR="003B5177">
              <w:rPr>
                <w:sz w:val="24"/>
                <w:szCs w:val="24"/>
              </w:rPr>
              <w:t>’</w:t>
            </w:r>
            <w:r>
              <w:rPr>
                <w:sz w:val="24"/>
                <w:szCs w:val="24"/>
              </w:rPr>
              <w:t>enfant et à la famille</w:t>
            </w:r>
          </w:p>
        </w:tc>
        <w:tc>
          <w:tcPr>
            <w:tcW w:w="2835" w:type="dxa"/>
          </w:tcPr>
          <w:p w14:paraId="218455C3" w14:textId="77777777" w:rsidR="00C80AF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7 809,37 $</w:t>
            </w:r>
          </w:p>
        </w:tc>
        <w:tc>
          <w:tcPr>
            <w:tcW w:w="7818" w:type="dxa"/>
          </w:tcPr>
          <w:p w14:paraId="6CDAEB36" w14:textId="565B426A" w:rsidR="00C80AFA" w:rsidRPr="00DC4B04" w:rsidRDefault="00DC4B04" w:rsidP="00726F95">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Calculé en additionnant le coût en 2024 des services non liés aux cas (844 316 $), des services aux cas (289 115 $) et des salaires (32 861 589 $) de la Société de l</w:t>
            </w:r>
            <w:r w:rsidR="003B5177">
              <w:rPr>
                <w:sz w:val="24"/>
                <w:szCs w:val="24"/>
              </w:rPr>
              <w:t>’</w:t>
            </w:r>
            <w:r>
              <w:rPr>
                <w:sz w:val="24"/>
                <w:szCs w:val="24"/>
              </w:rPr>
              <w:t>aide à l</w:t>
            </w:r>
            <w:r w:rsidR="003B5177">
              <w:rPr>
                <w:sz w:val="24"/>
                <w:szCs w:val="24"/>
              </w:rPr>
              <w:t>’</w:t>
            </w:r>
            <w:r>
              <w:rPr>
                <w:sz w:val="24"/>
                <w:szCs w:val="24"/>
              </w:rPr>
              <w:t>enfance d</w:t>
            </w:r>
            <w:r w:rsidR="003B5177">
              <w:rPr>
                <w:sz w:val="24"/>
                <w:szCs w:val="24"/>
              </w:rPr>
              <w:t>’</w:t>
            </w:r>
            <w:r>
              <w:rPr>
                <w:sz w:val="24"/>
                <w:szCs w:val="24"/>
              </w:rPr>
              <w:t>Ottawa (2024a), puis en divisant par le nombre d</w:t>
            </w:r>
            <w:r w:rsidR="003B5177">
              <w:rPr>
                <w:sz w:val="24"/>
                <w:szCs w:val="24"/>
              </w:rPr>
              <w:t>’</w:t>
            </w:r>
            <w:r>
              <w:rPr>
                <w:sz w:val="24"/>
                <w:szCs w:val="24"/>
              </w:rPr>
              <w:t>évaluations de protection de l</w:t>
            </w:r>
            <w:r w:rsidR="003B5177">
              <w:rPr>
                <w:sz w:val="24"/>
                <w:szCs w:val="24"/>
              </w:rPr>
              <w:t>’</w:t>
            </w:r>
            <w:r>
              <w:rPr>
                <w:sz w:val="24"/>
                <w:szCs w:val="24"/>
              </w:rPr>
              <w:t>enfance en 2023-2024 (4 429). Cela a entraîné un coût de 7 675,55 $ en 2024.</w:t>
            </w:r>
          </w:p>
        </w:tc>
      </w:tr>
      <w:tr w:rsidR="004976DD" w:rsidRPr="00DC4B04" w14:paraId="4B701CDD" w14:textId="77777777" w:rsidTr="00D73061">
        <w:trPr>
          <w:trHeight w:val="449"/>
        </w:trPr>
        <w:tc>
          <w:tcPr>
            <w:cnfStyle w:val="001000000000" w:firstRow="0" w:lastRow="0" w:firstColumn="1" w:lastColumn="0" w:oddVBand="0" w:evenVBand="0" w:oddHBand="0" w:evenHBand="0" w:firstRowFirstColumn="0" w:firstRowLastColumn="0" w:lastRowFirstColumn="0" w:lastRowLastColumn="0"/>
            <w:tcW w:w="2552" w:type="dxa"/>
          </w:tcPr>
          <w:p w14:paraId="7B6298EB" w14:textId="230D05EF" w:rsidR="00C80AFA" w:rsidRPr="00DC4B04" w:rsidRDefault="00DC4B04" w:rsidP="00726F95">
            <w:pPr>
              <w:spacing w:after="0" w:line="240" w:lineRule="auto"/>
              <w:rPr>
                <w:sz w:val="24"/>
                <w:szCs w:val="24"/>
              </w:rPr>
            </w:pPr>
            <w:r>
              <w:rPr>
                <w:sz w:val="24"/>
                <w:szCs w:val="24"/>
              </w:rPr>
              <w:t>Visites à domicile des Services à l</w:t>
            </w:r>
            <w:r w:rsidR="003B5177">
              <w:rPr>
                <w:sz w:val="24"/>
                <w:szCs w:val="24"/>
              </w:rPr>
              <w:t>’</w:t>
            </w:r>
            <w:r>
              <w:rPr>
                <w:sz w:val="24"/>
                <w:szCs w:val="24"/>
              </w:rPr>
              <w:t>enfant</w:t>
            </w:r>
          </w:p>
        </w:tc>
        <w:tc>
          <w:tcPr>
            <w:tcW w:w="2835" w:type="dxa"/>
          </w:tcPr>
          <w:p w14:paraId="109166F6" w14:textId="77777777" w:rsidR="00C80AF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57 655,85 $</w:t>
            </w:r>
          </w:p>
        </w:tc>
        <w:tc>
          <w:tcPr>
            <w:tcW w:w="7818" w:type="dxa"/>
          </w:tcPr>
          <w:p w14:paraId="35279AF3" w14:textId="7EA86D81" w:rsidR="00C80AFA" w:rsidRPr="00DC4B04" w:rsidRDefault="00DC4B04" w:rsidP="00726F95">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Calculé en additionnant le coût des services de cas en 2024 (289 115 $) et des salaires (32 861 589 $) de la Société de l</w:t>
            </w:r>
            <w:r w:rsidR="003B5177">
              <w:rPr>
                <w:sz w:val="24"/>
                <w:szCs w:val="24"/>
              </w:rPr>
              <w:t>’</w:t>
            </w:r>
            <w:r>
              <w:rPr>
                <w:sz w:val="24"/>
                <w:szCs w:val="24"/>
              </w:rPr>
              <w:t>aide à l</w:t>
            </w:r>
            <w:r w:rsidR="003B5177">
              <w:rPr>
                <w:sz w:val="24"/>
                <w:szCs w:val="24"/>
              </w:rPr>
              <w:t>’</w:t>
            </w:r>
            <w:r>
              <w:rPr>
                <w:sz w:val="24"/>
                <w:szCs w:val="24"/>
              </w:rPr>
              <w:t>enfance d</w:t>
            </w:r>
            <w:r w:rsidR="003B5177">
              <w:rPr>
                <w:sz w:val="24"/>
                <w:szCs w:val="24"/>
              </w:rPr>
              <w:t>’</w:t>
            </w:r>
            <w:r>
              <w:rPr>
                <w:sz w:val="24"/>
                <w:szCs w:val="24"/>
              </w:rPr>
              <w:t xml:space="preserve">Ottawa (2024b), et en divisant la somme par le nombre de cas de protection en cours (585). Cela a entraîné un coût de 56 667,87 $ en 2024. </w:t>
            </w:r>
          </w:p>
        </w:tc>
      </w:tr>
      <w:tr w:rsidR="004976DD" w:rsidRPr="00DC4B04" w14:paraId="45BB0BD7"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27103A28" w14:textId="5D12174D" w:rsidR="00C80AFA" w:rsidRPr="00DC4B04" w:rsidRDefault="00DC4B04" w:rsidP="00C80AFA">
            <w:pPr>
              <w:spacing w:after="0" w:line="240" w:lineRule="auto"/>
              <w:rPr>
                <w:sz w:val="24"/>
                <w:szCs w:val="24"/>
              </w:rPr>
            </w:pPr>
            <w:r>
              <w:rPr>
                <w:sz w:val="24"/>
                <w:szCs w:val="24"/>
              </w:rPr>
              <w:t>Visite à l</w:t>
            </w:r>
            <w:r w:rsidR="003B5177">
              <w:rPr>
                <w:sz w:val="24"/>
                <w:szCs w:val="24"/>
              </w:rPr>
              <w:t>’</w:t>
            </w:r>
            <w:r>
              <w:rPr>
                <w:sz w:val="24"/>
                <w:szCs w:val="24"/>
              </w:rPr>
              <w:t>urgence</w:t>
            </w:r>
          </w:p>
        </w:tc>
        <w:tc>
          <w:tcPr>
            <w:tcW w:w="2835" w:type="dxa"/>
            <w:tcBorders>
              <w:bottom w:val="single" w:sz="8" w:space="0" w:color="467C81" w:themeColor="accent3"/>
            </w:tcBorders>
          </w:tcPr>
          <w:p w14:paraId="3493CB47" w14:textId="77777777" w:rsidR="00C80AF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1 083,12 $</w:t>
            </w:r>
          </w:p>
        </w:tc>
        <w:tc>
          <w:tcPr>
            <w:tcW w:w="7818" w:type="dxa"/>
            <w:tcBorders>
              <w:bottom w:val="single" w:sz="8" w:space="0" w:color="467C81" w:themeColor="accent3"/>
            </w:tcBorders>
          </w:tcPr>
          <w:p w14:paraId="24EA25DB" w14:textId="62AE0C1A" w:rsidR="00C80AFA" w:rsidRPr="00DC4B04" w:rsidRDefault="00DC4B04" w:rsidP="00726F95">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 coût d</w:t>
            </w:r>
            <w:r w:rsidR="003B5177">
              <w:rPr>
                <w:sz w:val="24"/>
                <w:szCs w:val="24"/>
              </w:rPr>
              <w:t>’</w:t>
            </w:r>
            <w:r>
              <w:rPr>
                <w:sz w:val="24"/>
                <w:szCs w:val="24"/>
              </w:rPr>
              <w:t>une visite à l</w:t>
            </w:r>
            <w:r w:rsidR="003B5177">
              <w:rPr>
                <w:sz w:val="24"/>
                <w:szCs w:val="24"/>
              </w:rPr>
              <w:t>’</w:t>
            </w:r>
            <w:r>
              <w:rPr>
                <w:sz w:val="24"/>
                <w:szCs w:val="24"/>
              </w:rPr>
              <w:t>urgence de l</w:t>
            </w:r>
            <w:r w:rsidR="003B5177">
              <w:rPr>
                <w:sz w:val="24"/>
                <w:szCs w:val="24"/>
              </w:rPr>
              <w:t>’</w:t>
            </w:r>
            <w:r>
              <w:rPr>
                <w:sz w:val="24"/>
                <w:szCs w:val="24"/>
              </w:rPr>
              <w:t xml:space="preserve">Hôpital Queensway Carleton en 2021 était de 930,00 $ pour les non-résidents du Canada, dont les frais de non-résident reflètent les coûts réels et non subventionnés des visites. </w:t>
            </w:r>
          </w:p>
        </w:tc>
      </w:tr>
      <w:tr w:rsidR="004976DD" w:rsidRPr="00DC4B04" w14:paraId="6D699B6C"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33C2034F" w14:textId="77777777" w:rsidR="00C80AFA" w:rsidRPr="00DC4B04" w:rsidRDefault="00DC4B04" w:rsidP="00C80AFA">
            <w:pPr>
              <w:spacing w:after="0" w:line="240" w:lineRule="auto"/>
              <w:rPr>
                <w:sz w:val="24"/>
                <w:szCs w:val="24"/>
              </w:rPr>
            </w:pPr>
            <w:r>
              <w:rPr>
                <w:sz w:val="24"/>
                <w:szCs w:val="24"/>
              </w:rPr>
              <w:t xml:space="preserve">Audience sur la garde des enfants </w:t>
            </w:r>
          </w:p>
        </w:tc>
        <w:tc>
          <w:tcPr>
            <w:tcW w:w="2835" w:type="dxa"/>
            <w:tcBorders>
              <w:bottom w:val="single" w:sz="4" w:space="0" w:color="467C81" w:themeColor="accent3"/>
            </w:tcBorders>
          </w:tcPr>
          <w:p w14:paraId="3505BD20" w14:textId="77777777" w:rsidR="00C80AF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14 558,09 $</w:t>
            </w:r>
          </w:p>
        </w:tc>
        <w:tc>
          <w:tcPr>
            <w:tcW w:w="7818" w:type="dxa"/>
            <w:tcBorders>
              <w:bottom w:val="single" w:sz="4" w:space="0" w:color="467C81" w:themeColor="accent3"/>
            </w:tcBorders>
          </w:tcPr>
          <w:p w14:paraId="38353CC8" w14:textId="75201526" w:rsidR="00C80AFA" w:rsidRPr="00DC4B04" w:rsidRDefault="00DC4B04" w:rsidP="00C80AF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 coût a été déterminé en estimant le coût médian de la durée médiane d</w:t>
            </w:r>
            <w:r w:rsidR="003B5177">
              <w:rPr>
                <w:sz w:val="24"/>
                <w:szCs w:val="24"/>
              </w:rPr>
              <w:t>’</w:t>
            </w:r>
            <w:r>
              <w:rPr>
                <w:sz w:val="24"/>
                <w:szCs w:val="24"/>
              </w:rPr>
              <w:t>un procès en fonction des coûts et de la durée des procès de plusieurs sources</w:t>
            </w:r>
            <w:r w:rsidRPr="00DC4B04">
              <w:rPr>
                <w:rStyle w:val="EndnoteReference"/>
                <w:sz w:val="24"/>
                <w:szCs w:val="24"/>
              </w:rPr>
              <w:endnoteReference w:id="2"/>
            </w:r>
            <w:r>
              <w:rPr>
                <w:sz w:val="24"/>
                <w:szCs w:val="24"/>
              </w:rPr>
              <w:t>. Cela a entraîné une valeur médiane du coût par jour de procès de 12 500 $ en 2021. Cette estimation des coûts ne se rapporte qu</w:t>
            </w:r>
            <w:r w:rsidR="003B5177">
              <w:rPr>
                <w:sz w:val="24"/>
                <w:szCs w:val="24"/>
              </w:rPr>
              <w:t>’</w:t>
            </w:r>
            <w:r>
              <w:rPr>
                <w:sz w:val="24"/>
                <w:szCs w:val="24"/>
              </w:rPr>
              <w:t>au coût de la préparation d</w:t>
            </w:r>
            <w:r w:rsidR="003B5177">
              <w:rPr>
                <w:sz w:val="24"/>
                <w:szCs w:val="24"/>
              </w:rPr>
              <w:t>’</w:t>
            </w:r>
            <w:r>
              <w:rPr>
                <w:sz w:val="24"/>
                <w:szCs w:val="24"/>
              </w:rPr>
              <w:t>une participation au procès lui-même. Elle ne comprend pas les coûts liés à l</w:t>
            </w:r>
            <w:r w:rsidR="003B5177">
              <w:rPr>
                <w:sz w:val="24"/>
                <w:szCs w:val="24"/>
              </w:rPr>
              <w:t>’</w:t>
            </w:r>
            <w:r>
              <w:rPr>
                <w:sz w:val="24"/>
                <w:szCs w:val="24"/>
              </w:rPr>
              <w:t>introduction d</w:t>
            </w:r>
            <w:r w:rsidR="003B5177">
              <w:rPr>
                <w:sz w:val="24"/>
                <w:szCs w:val="24"/>
              </w:rPr>
              <w:t>’</w:t>
            </w:r>
            <w:r>
              <w:rPr>
                <w:sz w:val="24"/>
                <w:szCs w:val="24"/>
              </w:rPr>
              <w:t>une procédure, à la conférence de cas, aux interrogatoires préalables, à la divulgation de documents, aux demandes provisoires, au coût des débours ou aux impôts.) En ce qui concerne les coûts auxiliaires, on estime qu</w:t>
            </w:r>
            <w:r w:rsidR="003B5177">
              <w:rPr>
                <w:sz w:val="24"/>
                <w:szCs w:val="24"/>
              </w:rPr>
              <w:t>’</w:t>
            </w:r>
            <w:r>
              <w:rPr>
                <w:sz w:val="24"/>
                <w:szCs w:val="24"/>
              </w:rPr>
              <w:t>ils varient de 500,00 $ à 5 000,00 $ ou plus (Lemieux Litigation, 2018). De même, les coûts d</w:t>
            </w:r>
            <w:r w:rsidR="003B5177">
              <w:rPr>
                <w:sz w:val="24"/>
                <w:szCs w:val="24"/>
              </w:rPr>
              <w:t>’</w:t>
            </w:r>
            <w:r>
              <w:rPr>
                <w:sz w:val="24"/>
                <w:szCs w:val="24"/>
              </w:rPr>
              <w:t>une requête peuvent varier de 1 000,00 $ à 20 000,00 $ (Lemieux Litigation, 2018).</w:t>
            </w:r>
          </w:p>
        </w:tc>
      </w:tr>
      <w:tr w:rsidR="004976DD" w:rsidRPr="00DC4B04" w14:paraId="4837B925"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077C651D" w14:textId="06689753" w:rsidR="00C80AFA" w:rsidRPr="00DC4B04" w:rsidRDefault="00DC4B04" w:rsidP="00C80AFA">
            <w:pPr>
              <w:spacing w:after="0" w:line="240" w:lineRule="auto"/>
              <w:rPr>
                <w:sz w:val="24"/>
                <w:szCs w:val="24"/>
              </w:rPr>
            </w:pPr>
            <w:r>
              <w:rPr>
                <w:sz w:val="24"/>
                <w:szCs w:val="24"/>
              </w:rPr>
              <w:t>Placement en famille d</w:t>
            </w:r>
            <w:r w:rsidR="003B5177">
              <w:rPr>
                <w:sz w:val="24"/>
                <w:szCs w:val="24"/>
              </w:rPr>
              <w:t>’</w:t>
            </w:r>
            <w:r>
              <w:rPr>
                <w:sz w:val="24"/>
                <w:szCs w:val="24"/>
              </w:rPr>
              <w:t xml:space="preserve">accueil </w:t>
            </w:r>
          </w:p>
        </w:tc>
        <w:tc>
          <w:tcPr>
            <w:tcW w:w="2835" w:type="dxa"/>
            <w:tcBorders>
              <w:top w:val="single" w:sz="4" w:space="0" w:color="467C81" w:themeColor="accent3"/>
            </w:tcBorders>
          </w:tcPr>
          <w:p w14:paraId="4A3FCC25" w14:textId="77777777" w:rsidR="00C80AF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1 530,57 $</w:t>
            </w:r>
          </w:p>
        </w:tc>
        <w:tc>
          <w:tcPr>
            <w:tcW w:w="7818" w:type="dxa"/>
            <w:tcBorders>
              <w:top w:val="single" w:sz="4" w:space="0" w:color="467C81" w:themeColor="accent3"/>
            </w:tcBorders>
          </w:tcPr>
          <w:p w14:paraId="0C8793A4" w14:textId="14BF5C58" w:rsidR="00C80AFA" w:rsidRPr="00DC4B04" w:rsidRDefault="00DC4B04" w:rsidP="00C80AF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En 2023, le ministre du Développement de l</w:t>
            </w:r>
            <w:r w:rsidR="003B5177">
              <w:rPr>
                <w:sz w:val="24"/>
                <w:szCs w:val="24"/>
              </w:rPr>
              <w:t>’</w:t>
            </w:r>
            <w:r>
              <w:rPr>
                <w:sz w:val="24"/>
                <w:szCs w:val="24"/>
              </w:rPr>
              <w:t>enfant et de la famille a déposé un projet de loi de la Colombie-Britannique pour offrir aux parents d</w:t>
            </w:r>
            <w:r w:rsidR="003B5177">
              <w:rPr>
                <w:sz w:val="24"/>
                <w:szCs w:val="24"/>
              </w:rPr>
              <w:t>’</w:t>
            </w:r>
            <w:r>
              <w:rPr>
                <w:sz w:val="24"/>
                <w:szCs w:val="24"/>
              </w:rPr>
              <w:t xml:space="preserve">accueil un paiement de 1 465 $ par enfant par mois (The Canadian Press, 2023). </w:t>
            </w:r>
          </w:p>
        </w:tc>
      </w:tr>
      <w:tr w:rsidR="004976DD" w:rsidRPr="00DC4B04" w14:paraId="6A8D8CBD"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1CC68D9F" w14:textId="7F54663D" w:rsidR="00C80AFA" w:rsidRPr="00DC4B04" w:rsidRDefault="00DC4B04" w:rsidP="00C80AFA">
            <w:pPr>
              <w:spacing w:after="0" w:line="240" w:lineRule="auto"/>
              <w:rPr>
                <w:sz w:val="24"/>
                <w:szCs w:val="24"/>
              </w:rPr>
            </w:pPr>
            <w:r>
              <w:rPr>
                <w:sz w:val="24"/>
                <w:szCs w:val="24"/>
              </w:rPr>
              <w:t>Cours d</w:t>
            </w:r>
            <w:r w:rsidR="003B5177">
              <w:rPr>
                <w:sz w:val="24"/>
                <w:szCs w:val="24"/>
              </w:rPr>
              <w:t>’</w:t>
            </w:r>
            <w:r>
              <w:rPr>
                <w:sz w:val="24"/>
                <w:szCs w:val="24"/>
              </w:rPr>
              <w:t>éducation parentale</w:t>
            </w:r>
          </w:p>
        </w:tc>
        <w:tc>
          <w:tcPr>
            <w:tcW w:w="2835" w:type="dxa"/>
          </w:tcPr>
          <w:p w14:paraId="0833C3B0" w14:textId="77777777" w:rsidR="004C5F3F"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600,00 $</w:t>
            </w:r>
          </w:p>
        </w:tc>
        <w:tc>
          <w:tcPr>
            <w:tcW w:w="7818" w:type="dxa"/>
          </w:tcPr>
          <w:p w14:paraId="44E6EFE2" w14:textId="1E8E65D8" w:rsidR="00C80AFA" w:rsidRPr="00DC4B04" w:rsidRDefault="00DC4B04" w:rsidP="00C80AF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Ces cours comprenaient des leçons parentales, une formation sur la gestion de la colère et des conseils en santé mentale. Pour estimer le coût de ces travaux, le coût d</w:t>
            </w:r>
            <w:r w:rsidR="003B5177">
              <w:rPr>
                <w:sz w:val="24"/>
                <w:szCs w:val="24"/>
              </w:rPr>
              <w:t>’</w:t>
            </w:r>
            <w:r>
              <w:rPr>
                <w:sz w:val="24"/>
                <w:szCs w:val="24"/>
              </w:rPr>
              <w:t xml:space="preserve">un cours de gestion de la colère par Services à la famille Ottawa (2025) pour deux personnes. </w:t>
            </w:r>
          </w:p>
        </w:tc>
      </w:tr>
      <w:tr w:rsidR="004976DD" w:rsidRPr="00DC4B04" w14:paraId="1E7DE54F"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535D0E1E" w14:textId="77777777" w:rsidR="00C80AFA" w:rsidRPr="00DC4B04" w:rsidRDefault="00DC4B04" w:rsidP="00C80AFA">
            <w:pPr>
              <w:spacing w:after="0" w:line="240" w:lineRule="auto"/>
              <w:rPr>
                <w:sz w:val="24"/>
                <w:szCs w:val="24"/>
              </w:rPr>
            </w:pPr>
            <w:r>
              <w:rPr>
                <w:sz w:val="24"/>
                <w:szCs w:val="24"/>
              </w:rPr>
              <w:t xml:space="preserve">Visites surveillées </w:t>
            </w:r>
          </w:p>
        </w:tc>
        <w:tc>
          <w:tcPr>
            <w:tcW w:w="2835" w:type="dxa"/>
          </w:tcPr>
          <w:p w14:paraId="33F37E79" w14:textId="77777777" w:rsidR="004C5F3F"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30,00 $</w:t>
            </w:r>
          </w:p>
        </w:tc>
        <w:tc>
          <w:tcPr>
            <w:tcW w:w="7818" w:type="dxa"/>
          </w:tcPr>
          <w:p w14:paraId="1F47BF2D" w14:textId="77777777" w:rsidR="00C80AFA" w:rsidRPr="00DC4B04" w:rsidRDefault="00DC4B04" w:rsidP="00C80AF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 programme de visites surveillées de Services à la famille Ottawa (2025) avait un coût de 30,00 $ par visite</w:t>
            </w:r>
          </w:p>
        </w:tc>
      </w:tr>
      <w:tr w:rsidR="004976DD" w:rsidRPr="00DC4B04" w14:paraId="23C90924"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5ED2D7DF" w14:textId="77777777" w:rsidR="00C80AFA" w:rsidRPr="00DC4B04" w:rsidRDefault="00DC4B04" w:rsidP="00C80AFA">
            <w:pPr>
              <w:spacing w:after="0" w:line="240" w:lineRule="auto"/>
              <w:rPr>
                <w:sz w:val="24"/>
                <w:szCs w:val="24"/>
              </w:rPr>
            </w:pPr>
            <w:r>
              <w:rPr>
                <w:sz w:val="24"/>
                <w:szCs w:val="24"/>
              </w:rPr>
              <w:t>Évaluation psychopédagogique</w:t>
            </w:r>
          </w:p>
        </w:tc>
        <w:tc>
          <w:tcPr>
            <w:tcW w:w="2835" w:type="dxa"/>
            <w:tcBorders>
              <w:bottom w:val="single" w:sz="8" w:space="0" w:color="467C81" w:themeColor="accent3"/>
            </w:tcBorders>
          </w:tcPr>
          <w:p w14:paraId="59B06D7D" w14:textId="77777777" w:rsidR="00C80AF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4 497,06 $</w:t>
            </w:r>
          </w:p>
        </w:tc>
        <w:tc>
          <w:tcPr>
            <w:tcW w:w="7818" w:type="dxa"/>
            <w:tcBorders>
              <w:bottom w:val="single" w:sz="8" w:space="0" w:color="467C81" w:themeColor="accent3"/>
            </w:tcBorders>
          </w:tcPr>
          <w:p w14:paraId="60652854" w14:textId="6EAF8030" w:rsidR="00C80AFA" w:rsidRPr="00DC4B04" w:rsidRDefault="00DC4B04" w:rsidP="00C80AF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 Canadian Centre of Integrative Psychology &amp; Healthcare (CCIPH; 2024) a estimé que le coût d</w:t>
            </w:r>
            <w:r w:rsidR="003B5177">
              <w:rPr>
                <w:sz w:val="24"/>
                <w:szCs w:val="24"/>
              </w:rPr>
              <w:t>’</w:t>
            </w:r>
            <w:r>
              <w:rPr>
                <w:sz w:val="24"/>
                <w:szCs w:val="24"/>
              </w:rPr>
              <w:t>une évaluation psychoéducative pour les jeunes atteints de TDAH variait de 3 000 $ à 5 840 $. La médiane de cette fourchette a été utilisée comme unité de coût dans l</w:t>
            </w:r>
            <w:r w:rsidR="003B5177">
              <w:rPr>
                <w:sz w:val="24"/>
                <w:szCs w:val="24"/>
              </w:rPr>
              <w:t>’</w:t>
            </w:r>
            <w:r>
              <w:rPr>
                <w:sz w:val="24"/>
                <w:szCs w:val="24"/>
              </w:rPr>
              <w:t xml:space="preserve">histoire de Tyler, évaluée à 4 420 $ en 2024. </w:t>
            </w:r>
          </w:p>
        </w:tc>
      </w:tr>
      <w:tr w:rsidR="004976DD" w:rsidRPr="00DC4B04" w14:paraId="40F30084"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72706FC2" w14:textId="462FA778" w:rsidR="00C80AFA" w:rsidRPr="00DC4B04" w:rsidRDefault="00DC4B04" w:rsidP="00C80AFA">
            <w:pPr>
              <w:spacing w:after="0" w:line="240" w:lineRule="auto"/>
              <w:rPr>
                <w:sz w:val="24"/>
                <w:szCs w:val="24"/>
              </w:rPr>
            </w:pPr>
            <w:r>
              <w:rPr>
                <w:sz w:val="24"/>
                <w:szCs w:val="24"/>
              </w:rPr>
              <w:t>Plan d</w:t>
            </w:r>
            <w:r w:rsidR="003B5177">
              <w:rPr>
                <w:sz w:val="24"/>
                <w:szCs w:val="24"/>
              </w:rPr>
              <w:t>’</w:t>
            </w:r>
            <w:r>
              <w:rPr>
                <w:sz w:val="24"/>
                <w:szCs w:val="24"/>
              </w:rPr>
              <w:t>enseignement individualisé</w:t>
            </w:r>
          </w:p>
        </w:tc>
        <w:tc>
          <w:tcPr>
            <w:tcW w:w="2835" w:type="dxa"/>
            <w:tcBorders>
              <w:bottom w:val="single" w:sz="4" w:space="0" w:color="467C81" w:themeColor="accent3"/>
            </w:tcBorders>
          </w:tcPr>
          <w:p w14:paraId="5E7C62D4" w14:textId="77777777" w:rsidR="00C80AF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6 189,16 $</w:t>
            </w:r>
          </w:p>
        </w:tc>
        <w:tc>
          <w:tcPr>
            <w:tcW w:w="7818" w:type="dxa"/>
            <w:tcBorders>
              <w:bottom w:val="single" w:sz="4" w:space="0" w:color="467C81" w:themeColor="accent3"/>
            </w:tcBorders>
          </w:tcPr>
          <w:p w14:paraId="64E85ADF" w14:textId="3119F0F3" w:rsidR="00C80AFA" w:rsidRPr="00DC4B04" w:rsidRDefault="00DC4B04" w:rsidP="00C80AF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Les coûts ont été obtenus du Guichet-Emplois du gouvernement du Canada (2024) et du ministère de l</w:t>
            </w:r>
            <w:r w:rsidR="003B5177">
              <w:rPr>
                <w:sz w:val="24"/>
                <w:szCs w:val="24"/>
              </w:rPr>
              <w:t>’</w:t>
            </w:r>
            <w:r>
              <w:rPr>
                <w:sz w:val="24"/>
                <w:szCs w:val="24"/>
              </w:rPr>
              <w:t>Éducation de l</w:t>
            </w:r>
            <w:r w:rsidR="003B5177">
              <w:rPr>
                <w:sz w:val="24"/>
                <w:szCs w:val="24"/>
              </w:rPr>
              <w:t>’</w:t>
            </w:r>
            <w:r>
              <w:rPr>
                <w:sz w:val="24"/>
                <w:szCs w:val="24"/>
              </w:rPr>
              <w:t>Ontario (2023). Il comprenait des coûts salariaux partiels pour le personnel de l</w:t>
            </w:r>
            <w:r w:rsidR="003B5177">
              <w:rPr>
                <w:sz w:val="24"/>
                <w:szCs w:val="24"/>
              </w:rPr>
              <w:t>’</w:t>
            </w:r>
            <w:r>
              <w:rPr>
                <w:sz w:val="24"/>
                <w:szCs w:val="24"/>
              </w:rPr>
              <w:t>éducation responsable de Tyler, de la technologie d</w:t>
            </w:r>
            <w:r w:rsidR="003B5177">
              <w:rPr>
                <w:sz w:val="24"/>
                <w:szCs w:val="24"/>
              </w:rPr>
              <w:t>’</w:t>
            </w:r>
            <w:r>
              <w:rPr>
                <w:sz w:val="24"/>
                <w:szCs w:val="24"/>
              </w:rPr>
              <w:t>assistance et des logiciels adaptatifs. Les coûts salariaux partiels ont été estimés pour un enseignant de l</w:t>
            </w:r>
            <w:r w:rsidR="003B5177">
              <w:rPr>
                <w:sz w:val="24"/>
                <w:szCs w:val="24"/>
              </w:rPr>
              <w:t>’</w:t>
            </w:r>
            <w:r>
              <w:rPr>
                <w:sz w:val="24"/>
                <w:szCs w:val="24"/>
              </w:rPr>
              <w:t>élémentaire spécialisé (salaire médian de 46,15 $), un aide-enseignant (salaire médian de 25,00 $) et un conseiller en éducation (salaire médian de 40,02 $), en supposant une classe de 30 élèves et environ 3,33 % de leur temps consacré à un seul élève (c.-à-d. Tyler). Le pourcentage a été appliqué aux salaires annuels à temps plein pour une année scolaire de 36 semaines pour un total de 5 283,10 $ (en dollars de 2024; égal à 0,033*160 093,80 $). En ce qui concerne la technologie et les logiciels adaptatifs, Tyler recevrait un Chromebook Google avec un logiciel de synthèse vocale, qui serait couvert par une allocation de 800 $ fournie par le conseil scolaire, tandis que les 5 283,10 $ restants seraient couverts par le montant pour l</w:t>
            </w:r>
            <w:r w:rsidR="003B5177">
              <w:rPr>
                <w:sz w:val="24"/>
                <w:szCs w:val="24"/>
              </w:rPr>
              <w:t>’</w:t>
            </w:r>
            <w:r>
              <w:rPr>
                <w:sz w:val="24"/>
                <w:szCs w:val="24"/>
              </w:rPr>
              <w:t>équipement spécial du gouvernement de l</w:t>
            </w:r>
            <w:r w:rsidR="003B5177">
              <w:rPr>
                <w:sz w:val="24"/>
                <w:szCs w:val="24"/>
              </w:rPr>
              <w:t>’</w:t>
            </w:r>
            <w:r>
              <w:rPr>
                <w:sz w:val="24"/>
                <w:szCs w:val="24"/>
              </w:rPr>
              <w:t>Ontario. Au total, le coût d</w:t>
            </w:r>
            <w:r w:rsidR="003B5177">
              <w:rPr>
                <w:sz w:val="24"/>
                <w:szCs w:val="24"/>
              </w:rPr>
              <w:t>’</w:t>
            </w:r>
            <w:r>
              <w:rPr>
                <w:sz w:val="24"/>
                <w:szCs w:val="24"/>
              </w:rPr>
              <w:t>une année du plan d</w:t>
            </w:r>
            <w:r w:rsidR="003B5177">
              <w:rPr>
                <w:sz w:val="24"/>
                <w:szCs w:val="24"/>
              </w:rPr>
              <w:t>’</w:t>
            </w:r>
            <w:r>
              <w:rPr>
                <w:sz w:val="24"/>
                <w:szCs w:val="24"/>
              </w:rPr>
              <w:t xml:space="preserve">éducation individuel de Tyler a été estimé à 6 083,10 $ en 2024. </w:t>
            </w:r>
          </w:p>
        </w:tc>
      </w:tr>
      <w:tr w:rsidR="004976DD" w:rsidRPr="00DC4B04" w14:paraId="774E1346"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4567AA2F" w14:textId="0B9762DF" w:rsidR="00C80AFA" w:rsidRPr="00DC4B04" w:rsidRDefault="00DC4B04" w:rsidP="00C80AFA">
            <w:pPr>
              <w:spacing w:after="0" w:line="240" w:lineRule="auto"/>
              <w:rPr>
                <w:sz w:val="24"/>
                <w:szCs w:val="24"/>
              </w:rPr>
            </w:pPr>
            <w:r>
              <w:rPr>
                <w:sz w:val="24"/>
                <w:szCs w:val="24"/>
              </w:rPr>
              <w:t>Arrestation d</w:t>
            </w:r>
            <w:r w:rsidR="003B5177">
              <w:rPr>
                <w:sz w:val="24"/>
                <w:szCs w:val="24"/>
              </w:rPr>
              <w:t>’</w:t>
            </w:r>
            <w:r>
              <w:rPr>
                <w:sz w:val="24"/>
                <w:szCs w:val="24"/>
              </w:rPr>
              <w:t>un mineur</w:t>
            </w:r>
          </w:p>
        </w:tc>
        <w:tc>
          <w:tcPr>
            <w:tcW w:w="2835" w:type="dxa"/>
            <w:tcBorders>
              <w:top w:val="single" w:sz="4" w:space="0" w:color="467C81" w:themeColor="accent3"/>
            </w:tcBorders>
          </w:tcPr>
          <w:p w14:paraId="34F8ABEF" w14:textId="77777777" w:rsidR="00C80AF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677,08 $</w:t>
            </w:r>
          </w:p>
        </w:tc>
        <w:tc>
          <w:tcPr>
            <w:tcW w:w="7818" w:type="dxa"/>
            <w:tcBorders>
              <w:top w:val="single" w:sz="4" w:space="0" w:color="467C81" w:themeColor="accent3"/>
            </w:tcBorders>
          </w:tcPr>
          <w:p w14:paraId="42E8C804" w14:textId="5119C798" w:rsidR="00C80AFA" w:rsidRPr="00DC4B04" w:rsidRDefault="00DC4B04" w:rsidP="00C80AF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Ce coût était le coût moyen des arrestations en vertu de la </w:t>
            </w:r>
            <w:r>
              <w:rPr>
                <w:i/>
                <w:iCs/>
                <w:sz w:val="24"/>
                <w:szCs w:val="24"/>
              </w:rPr>
              <w:t>Loi sur le système de justice pénale pour les adolescents</w:t>
            </w:r>
            <w:r>
              <w:rPr>
                <w:sz w:val="24"/>
                <w:szCs w:val="24"/>
              </w:rPr>
              <w:t xml:space="preserve"> (2003) par le Service de police régional de Waterloo, tiré d</w:t>
            </w:r>
            <w:r w:rsidR="003B5177">
              <w:rPr>
                <w:sz w:val="24"/>
                <w:szCs w:val="24"/>
              </w:rPr>
              <w:t>’</w:t>
            </w:r>
            <w:r>
              <w:rPr>
                <w:sz w:val="24"/>
                <w:szCs w:val="24"/>
              </w:rPr>
              <w:t xml:space="preserve">un rapport de Sécurité publique Canada (Elligwood, 2015). Le coût moyen était de 508,43 $ en 2013. </w:t>
            </w:r>
          </w:p>
        </w:tc>
      </w:tr>
      <w:tr w:rsidR="004976DD" w:rsidRPr="00DC4B04" w14:paraId="34002956"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09464BC2" w14:textId="77777777" w:rsidR="00C80AFA" w:rsidRPr="00DC4B04" w:rsidRDefault="00DC4B04" w:rsidP="00C80AFA">
            <w:pPr>
              <w:spacing w:after="0" w:line="240" w:lineRule="auto"/>
              <w:rPr>
                <w:sz w:val="24"/>
                <w:szCs w:val="24"/>
              </w:rPr>
            </w:pPr>
            <w:r>
              <w:rPr>
                <w:sz w:val="24"/>
                <w:szCs w:val="24"/>
              </w:rPr>
              <w:t xml:space="preserve">Comparution devant le tribunal pour adolescents </w:t>
            </w:r>
          </w:p>
        </w:tc>
        <w:tc>
          <w:tcPr>
            <w:tcW w:w="2835" w:type="dxa"/>
          </w:tcPr>
          <w:p w14:paraId="68D51788" w14:textId="77777777" w:rsidR="00C80AF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1 650,83 $</w:t>
            </w:r>
          </w:p>
        </w:tc>
        <w:tc>
          <w:tcPr>
            <w:tcW w:w="7818" w:type="dxa"/>
          </w:tcPr>
          <w:p w14:paraId="51F4B63D" w14:textId="71E8EC45" w:rsidR="00C80AFA" w:rsidRPr="00DC4B04" w:rsidRDefault="00DC4B04" w:rsidP="00C80AF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 coût par comparution devant un tribunal pour adolescents a été estimé à 1 275,00 $ en 2015 dans le cadre du projet pilote du Safe Communities Innovation Fund du gouvernement de l</w:t>
            </w:r>
            <w:r w:rsidR="003B5177">
              <w:rPr>
                <w:sz w:val="24"/>
                <w:szCs w:val="24"/>
              </w:rPr>
              <w:t>’</w:t>
            </w:r>
            <w:r>
              <w:rPr>
                <w:sz w:val="24"/>
                <w:szCs w:val="24"/>
              </w:rPr>
              <w:t xml:space="preserve">Alberta (2015). </w:t>
            </w:r>
          </w:p>
        </w:tc>
      </w:tr>
      <w:tr w:rsidR="004976DD" w:rsidRPr="00DC4B04" w14:paraId="3B84EA61"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053EA6A8" w14:textId="77777777" w:rsidR="00C80AFA" w:rsidRPr="00DC4B04" w:rsidRDefault="00DC4B04" w:rsidP="00C80AFA">
            <w:pPr>
              <w:spacing w:after="0" w:line="240" w:lineRule="auto"/>
              <w:rPr>
                <w:sz w:val="24"/>
                <w:szCs w:val="24"/>
              </w:rPr>
            </w:pPr>
            <w:r>
              <w:rPr>
                <w:sz w:val="24"/>
                <w:szCs w:val="24"/>
              </w:rPr>
              <w:t xml:space="preserve">Présence de la police au tribunal </w:t>
            </w:r>
          </w:p>
        </w:tc>
        <w:tc>
          <w:tcPr>
            <w:tcW w:w="2835" w:type="dxa"/>
            <w:tcBorders>
              <w:bottom w:val="single" w:sz="8" w:space="0" w:color="467C81" w:themeColor="accent3"/>
            </w:tcBorders>
          </w:tcPr>
          <w:p w14:paraId="4F8C2969" w14:textId="77777777" w:rsidR="00C80AF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443,10 $</w:t>
            </w:r>
          </w:p>
        </w:tc>
        <w:tc>
          <w:tcPr>
            <w:tcW w:w="7818" w:type="dxa"/>
            <w:tcBorders>
              <w:bottom w:val="single" w:sz="8" w:space="0" w:color="467C81" w:themeColor="accent3"/>
            </w:tcBorders>
          </w:tcPr>
          <w:p w14:paraId="4F1D8BB1" w14:textId="72C24F04" w:rsidR="00C80AFA" w:rsidRPr="00DC4B04" w:rsidRDefault="00DC4B04" w:rsidP="00C80AF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 coût a été estimé à l</w:t>
            </w:r>
            <w:r w:rsidR="003B5177">
              <w:rPr>
                <w:sz w:val="24"/>
                <w:szCs w:val="24"/>
              </w:rPr>
              <w:t>’</w:t>
            </w:r>
            <w:r>
              <w:rPr>
                <w:sz w:val="24"/>
                <w:szCs w:val="24"/>
              </w:rPr>
              <w:t>aide du coût de 2023 du Service de police d</w:t>
            </w:r>
            <w:r w:rsidR="003B5177">
              <w:rPr>
                <w:sz w:val="24"/>
                <w:szCs w:val="24"/>
              </w:rPr>
              <w:t>’</w:t>
            </w:r>
            <w:r>
              <w:rPr>
                <w:sz w:val="24"/>
                <w:szCs w:val="24"/>
              </w:rPr>
              <w:t>Ottawa (2025) pour un agent de niveau 2 qui se présente au tribunal pendant un minimum de quatre heures. En 2023, ce coût a été calculé à 424,12 $ par comparution devant le tribunal</w:t>
            </w:r>
            <w:r w:rsidR="00A363BF">
              <w:rPr>
                <w:sz w:val="24"/>
                <w:szCs w:val="24"/>
              </w:rPr>
              <w:t xml:space="preserve">. </w:t>
            </w:r>
          </w:p>
        </w:tc>
      </w:tr>
      <w:tr w:rsidR="004976DD" w:rsidRPr="00DC4B04" w14:paraId="66570862"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75206659" w14:textId="77777777" w:rsidR="00C80AFA" w:rsidRPr="00DC4B04" w:rsidRDefault="00DC4B04" w:rsidP="00C80AFA">
            <w:pPr>
              <w:spacing w:after="0" w:line="240" w:lineRule="auto"/>
              <w:rPr>
                <w:sz w:val="24"/>
                <w:szCs w:val="24"/>
              </w:rPr>
            </w:pPr>
            <w:r>
              <w:rPr>
                <w:sz w:val="24"/>
                <w:szCs w:val="24"/>
              </w:rPr>
              <w:t>Vol de moins de 5 000 $</w:t>
            </w:r>
          </w:p>
        </w:tc>
        <w:tc>
          <w:tcPr>
            <w:tcW w:w="2835" w:type="dxa"/>
            <w:tcBorders>
              <w:bottom w:val="single" w:sz="4" w:space="0" w:color="467C81" w:themeColor="accent3"/>
            </w:tcBorders>
          </w:tcPr>
          <w:p w14:paraId="77035FBC" w14:textId="77777777" w:rsidR="00C80AF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1 542,09 $</w:t>
            </w:r>
          </w:p>
        </w:tc>
        <w:tc>
          <w:tcPr>
            <w:tcW w:w="7818" w:type="dxa"/>
            <w:tcBorders>
              <w:bottom w:val="single" w:sz="4" w:space="0" w:color="467C81" w:themeColor="accent3"/>
            </w:tcBorders>
          </w:tcPr>
          <w:p w14:paraId="577CB5CB" w14:textId="77777777" w:rsidR="00C80AFA" w:rsidRPr="00DC4B04" w:rsidRDefault="00DC4B04" w:rsidP="00C80AF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Un premier rapport (Gabor, 2016) a estimé que le coût par incident de vol en 2014 pour le système de justice pénale était de 1 181,58 $. </w:t>
            </w:r>
          </w:p>
        </w:tc>
      </w:tr>
      <w:tr w:rsidR="004976DD" w:rsidRPr="00DC4B04" w14:paraId="7DDB3A03"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33E97710" w14:textId="77777777" w:rsidR="00893E0A" w:rsidRPr="00DC4B04" w:rsidRDefault="00DC4B04" w:rsidP="00893E0A">
            <w:pPr>
              <w:spacing w:after="0" w:line="240" w:lineRule="auto"/>
              <w:rPr>
                <w:sz w:val="24"/>
                <w:szCs w:val="24"/>
              </w:rPr>
            </w:pPr>
            <w:r>
              <w:rPr>
                <w:sz w:val="24"/>
                <w:szCs w:val="24"/>
              </w:rPr>
              <w:t>Dommages matériels</w:t>
            </w:r>
          </w:p>
        </w:tc>
        <w:tc>
          <w:tcPr>
            <w:tcW w:w="2835" w:type="dxa"/>
            <w:tcBorders>
              <w:top w:val="single" w:sz="4" w:space="0" w:color="467C81" w:themeColor="accent3"/>
            </w:tcBorders>
          </w:tcPr>
          <w:p w14:paraId="1E896407" w14:textId="77777777" w:rsidR="00893E0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3 469,73 $</w:t>
            </w:r>
          </w:p>
        </w:tc>
        <w:tc>
          <w:tcPr>
            <w:tcW w:w="7818" w:type="dxa"/>
            <w:tcBorders>
              <w:top w:val="single" w:sz="4" w:space="0" w:color="467C81" w:themeColor="accent3"/>
            </w:tcBorders>
          </w:tcPr>
          <w:p w14:paraId="17CF1166" w14:textId="77777777" w:rsidR="00893E0A" w:rsidRPr="00DC4B04" w:rsidRDefault="00DC4B04"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Un premier rapport (Gabor, 2016) a estimé que le coût par dommage matériel en 2014 pour le système de justice pénale était de 2 658,57 $. </w:t>
            </w:r>
          </w:p>
        </w:tc>
      </w:tr>
      <w:tr w:rsidR="004976DD" w:rsidRPr="00DC4B04" w14:paraId="51BCD7B0"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5E4D7BA0" w14:textId="77777777" w:rsidR="00893E0A" w:rsidRPr="00DC4B04" w:rsidRDefault="00DC4B04" w:rsidP="00893E0A">
            <w:pPr>
              <w:spacing w:after="0" w:line="240" w:lineRule="auto"/>
              <w:rPr>
                <w:sz w:val="24"/>
                <w:szCs w:val="24"/>
              </w:rPr>
            </w:pPr>
            <w:r>
              <w:rPr>
                <w:sz w:val="24"/>
                <w:szCs w:val="24"/>
              </w:rPr>
              <w:t xml:space="preserve">Surveillance de probation </w:t>
            </w:r>
          </w:p>
        </w:tc>
        <w:tc>
          <w:tcPr>
            <w:tcW w:w="2835" w:type="dxa"/>
          </w:tcPr>
          <w:p w14:paraId="5D8C90C0" w14:textId="77777777" w:rsidR="00893E0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23,21 $</w:t>
            </w:r>
          </w:p>
        </w:tc>
        <w:tc>
          <w:tcPr>
            <w:tcW w:w="7818" w:type="dxa"/>
          </w:tcPr>
          <w:p w14:paraId="7499F79A" w14:textId="77777777" w:rsidR="00893E0A" w:rsidRPr="00DC4B04" w:rsidRDefault="00DC4B04"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Un premier rapport (Day et coll., 2016) a estimé le coût quotidien de la surveillance de probation en 2013 à 17,43 $. </w:t>
            </w:r>
          </w:p>
        </w:tc>
      </w:tr>
      <w:tr w:rsidR="004976DD" w:rsidRPr="00DC4B04" w14:paraId="517DEEFD"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54AB67CF" w14:textId="77777777" w:rsidR="00893E0A" w:rsidRPr="00DC4B04" w:rsidRDefault="00DC4B04" w:rsidP="00893E0A">
            <w:pPr>
              <w:spacing w:after="0" w:line="240" w:lineRule="auto"/>
              <w:rPr>
                <w:sz w:val="24"/>
                <w:szCs w:val="24"/>
              </w:rPr>
            </w:pPr>
            <w:r>
              <w:rPr>
                <w:sz w:val="24"/>
                <w:szCs w:val="24"/>
              </w:rPr>
              <w:t xml:space="preserve">Supervision des services communautaires </w:t>
            </w:r>
          </w:p>
        </w:tc>
        <w:tc>
          <w:tcPr>
            <w:tcW w:w="2835" w:type="dxa"/>
          </w:tcPr>
          <w:p w14:paraId="4EBA471E" w14:textId="77777777" w:rsidR="00893E0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114,41 $</w:t>
            </w:r>
          </w:p>
        </w:tc>
        <w:tc>
          <w:tcPr>
            <w:tcW w:w="7818" w:type="dxa"/>
          </w:tcPr>
          <w:p w14:paraId="5B471859" w14:textId="77777777" w:rsidR="00893E0A" w:rsidRPr="00DC4B04" w:rsidRDefault="00DC4B04"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Un premier rapport (Day et coll., 2016) a estimé que le coût quotidien (8 heures) de la supervision des services communautaires en 2014 était de 87,66 $. </w:t>
            </w:r>
          </w:p>
        </w:tc>
      </w:tr>
      <w:tr w:rsidR="004976DD" w:rsidRPr="00DC4B04" w14:paraId="67351D32"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674645E3" w14:textId="77777777" w:rsidR="00893E0A" w:rsidRPr="00DC4B04" w:rsidRDefault="00DC4B04" w:rsidP="00893E0A">
            <w:pPr>
              <w:spacing w:after="0" w:line="240" w:lineRule="auto"/>
              <w:rPr>
                <w:sz w:val="24"/>
                <w:szCs w:val="24"/>
              </w:rPr>
            </w:pPr>
            <w:r>
              <w:rPr>
                <w:sz w:val="24"/>
                <w:szCs w:val="24"/>
              </w:rPr>
              <w:t>Aide sociale au décrochage scolaire</w:t>
            </w:r>
          </w:p>
        </w:tc>
        <w:tc>
          <w:tcPr>
            <w:tcW w:w="2835" w:type="dxa"/>
          </w:tcPr>
          <w:p w14:paraId="0DF3F779" w14:textId="77777777" w:rsidR="00893E0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765,81 $</w:t>
            </w:r>
          </w:p>
        </w:tc>
        <w:tc>
          <w:tcPr>
            <w:tcW w:w="7818" w:type="dxa"/>
          </w:tcPr>
          <w:p w14:paraId="6369A6E9" w14:textId="16AB2110" w:rsidR="00893E0A" w:rsidRPr="00DC4B04" w:rsidRDefault="00DC4B04"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 coût a été déterminé à partir des paiements d</w:t>
            </w:r>
            <w:r w:rsidR="003B5177">
              <w:rPr>
                <w:sz w:val="24"/>
                <w:szCs w:val="24"/>
              </w:rPr>
              <w:t>’</w:t>
            </w:r>
            <w:r>
              <w:rPr>
                <w:sz w:val="24"/>
                <w:szCs w:val="24"/>
              </w:rPr>
              <w:t>aide financière du programme Ontario au travail pour une seule personne qui n</w:t>
            </w:r>
            <w:r w:rsidR="003B5177">
              <w:rPr>
                <w:sz w:val="24"/>
                <w:szCs w:val="24"/>
              </w:rPr>
              <w:t>’</w:t>
            </w:r>
            <w:r>
              <w:rPr>
                <w:sz w:val="24"/>
                <w:szCs w:val="24"/>
              </w:rPr>
              <w:t xml:space="preserve">avait pas terminé ses études secondaires. Le coût était de 733,00 $ par personne par mois en 2023 (Income Security Advocacy Centre, 2023). </w:t>
            </w:r>
          </w:p>
        </w:tc>
      </w:tr>
      <w:tr w:rsidR="004976DD" w:rsidRPr="00DC4B04" w14:paraId="1E7097B3"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7BADFE39" w14:textId="77777777" w:rsidR="00893E0A" w:rsidRPr="00DC4B04" w:rsidRDefault="00DC4B04" w:rsidP="00893E0A">
            <w:pPr>
              <w:spacing w:after="0" w:line="240" w:lineRule="auto"/>
              <w:rPr>
                <w:sz w:val="24"/>
                <w:szCs w:val="24"/>
              </w:rPr>
            </w:pPr>
            <w:r>
              <w:rPr>
                <w:sz w:val="24"/>
                <w:szCs w:val="24"/>
              </w:rPr>
              <w:t>Voies de fait</w:t>
            </w:r>
          </w:p>
        </w:tc>
        <w:tc>
          <w:tcPr>
            <w:tcW w:w="2835" w:type="dxa"/>
          </w:tcPr>
          <w:p w14:paraId="5CFEC299" w14:textId="77777777" w:rsidR="00893E0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5 718,14 $</w:t>
            </w:r>
          </w:p>
        </w:tc>
        <w:tc>
          <w:tcPr>
            <w:tcW w:w="7818" w:type="dxa"/>
          </w:tcPr>
          <w:p w14:paraId="347C4505" w14:textId="77777777" w:rsidR="00893E0A" w:rsidRPr="00DC4B04" w:rsidRDefault="00DC4B04"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Un premier rapport (Gabor, 2016) a estimé que le coût par voie de fait en 2014 pour le système de justice pénale était de 4 381,34 $.</w:t>
            </w:r>
          </w:p>
        </w:tc>
      </w:tr>
      <w:tr w:rsidR="004976DD" w:rsidRPr="00DC4B04" w14:paraId="2B046180"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6078816C" w14:textId="77777777" w:rsidR="00893E0A" w:rsidRPr="00DC4B04" w:rsidRDefault="00DC4B04" w:rsidP="00893E0A">
            <w:pPr>
              <w:spacing w:after="0" w:line="240" w:lineRule="auto"/>
              <w:rPr>
                <w:sz w:val="24"/>
                <w:szCs w:val="24"/>
              </w:rPr>
            </w:pPr>
            <w:r>
              <w:rPr>
                <w:sz w:val="24"/>
                <w:szCs w:val="24"/>
              </w:rPr>
              <w:t xml:space="preserve">Établissement de garde pour jeunes </w:t>
            </w:r>
          </w:p>
        </w:tc>
        <w:tc>
          <w:tcPr>
            <w:tcW w:w="2835" w:type="dxa"/>
          </w:tcPr>
          <w:p w14:paraId="0A09EC72" w14:textId="77777777" w:rsidR="00893E0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253,12 $</w:t>
            </w:r>
          </w:p>
        </w:tc>
        <w:tc>
          <w:tcPr>
            <w:tcW w:w="7818" w:type="dxa"/>
          </w:tcPr>
          <w:p w14:paraId="39C08D95" w14:textId="77777777" w:rsidR="00893E0A" w:rsidRPr="00DC4B04" w:rsidRDefault="00DC4B04"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Le coût a été déterminé par le Bureau du directeur parlementaire du budget (2018). Le coût spécifique par jour en 2016-2017 par jeune était de 202,00 $. </w:t>
            </w:r>
          </w:p>
        </w:tc>
      </w:tr>
      <w:tr w:rsidR="004976DD" w:rsidRPr="00DC4B04" w14:paraId="3B7CBD3B" w14:textId="77777777" w:rsidTr="00D73061">
        <w:trPr>
          <w:trHeight w:val="358"/>
        </w:trPr>
        <w:tc>
          <w:tcPr>
            <w:cnfStyle w:val="001000000000" w:firstRow="0" w:lastRow="0" w:firstColumn="1" w:lastColumn="0" w:oddVBand="0" w:evenVBand="0" w:oddHBand="0" w:evenHBand="0" w:firstRowFirstColumn="0" w:firstRowLastColumn="0" w:lastRowFirstColumn="0" w:lastRowLastColumn="0"/>
            <w:tcW w:w="2552" w:type="dxa"/>
          </w:tcPr>
          <w:p w14:paraId="621D3334" w14:textId="700106AE" w:rsidR="00893E0A" w:rsidRPr="00DC4B04" w:rsidRDefault="00DC4B04" w:rsidP="00893E0A">
            <w:pPr>
              <w:spacing w:after="0" w:line="240" w:lineRule="auto"/>
              <w:rPr>
                <w:sz w:val="24"/>
                <w:szCs w:val="24"/>
              </w:rPr>
            </w:pPr>
            <w:r>
              <w:rPr>
                <w:sz w:val="24"/>
                <w:szCs w:val="24"/>
              </w:rPr>
              <w:t>Arrestation d</w:t>
            </w:r>
            <w:r w:rsidR="003B5177">
              <w:rPr>
                <w:sz w:val="24"/>
                <w:szCs w:val="24"/>
              </w:rPr>
              <w:t>’</w:t>
            </w:r>
            <w:r>
              <w:rPr>
                <w:sz w:val="24"/>
                <w:szCs w:val="24"/>
              </w:rPr>
              <w:t xml:space="preserve">un adulte </w:t>
            </w:r>
          </w:p>
        </w:tc>
        <w:tc>
          <w:tcPr>
            <w:tcW w:w="2835" w:type="dxa"/>
          </w:tcPr>
          <w:p w14:paraId="15424B94" w14:textId="77777777" w:rsidR="00893E0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3 205,54 $</w:t>
            </w:r>
          </w:p>
        </w:tc>
        <w:tc>
          <w:tcPr>
            <w:tcW w:w="7818" w:type="dxa"/>
          </w:tcPr>
          <w:p w14:paraId="2B5A1FA5" w14:textId="71E92AD7" w:rsidR="00893E0A" w:rsidRPr="00DC4B04" w:rsidRDefault="00DC4B04"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Un premier rapport (Gabor, 2016) a estimé que le coût par arrestation d</w:t>
            </w:r>
            <w:r w:rsidR="003B5177">
              <w:rPr>
                <w:sz w:val="24"/>
                <w:szCs w:val="24"/>
              </w:rPr>
              <w:t>’</w:t>
            </w:r>
            <w:r>
              <w:rPr>
                <w:sz w:val="24"/>
                <w:szCs w:val="24"/>
              </w:rPr>
              <w:t>un adulte en 2014 pour le système de justice pénale était de 2 456,14 $.</w:t>
            </w:r>
          </w:p>
        </w:tc>
      </w:tr>
      <w:tr w:rsidR="004976DD" w:rsidRPr="00DC4B04" w14:paraId="146B3F3B"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3B74546E" w14:textId="77777777" w:rsidR="00893E0A" w:rsidRPr="00DC4B04" w:rsidRDefault="00DC4B04" w:rsidP="00893E0A">
            <w:pPr>
              <w:spacing w:after="0" w:line="240" w:lineRule="auto"/>
              <w:rPr>
                <w:sz w:val="24"/>
                <w:szCs w:val="24"/>
              </w:rPr>
            </w:pPr>
            <w:r>
              <w:rPr>
                <w:sz w:val="24"/>
                <w:szCs w:val="24"/>
              </w:rPr>
              <w:t xml:space="preserve">Comparution devant le tribunal pour adultes </w:t>
            </w:r>
          </w:p>
        </w:tc>
        <w:tc>
          <w:tcPr>
            <w:tcW w:w="2835" w:type="dxa"/>
            <w:tcBorders>
              <w:bottom w:val="single" w:sz="8" w:space="0" w:color="467C81" w:themeColor="accent3"/>
            </w:tcBorders>
          </w:tcPr>
          <w:p w14:paraId="78D7CB30" w14:textId="77777777" w:rsidR="00893E0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8 987,04 $</w:t>
            </w:r>
          </w:p>
        </w:tc>
        <w:tc>
          <w:tcPr>
            <w:tcW w:w="7818" w:type="dxa"/>
            <w:tcBorders>
              <w:bottom w:val="single" w:sz="8" w:space="0" w:color="467C81" w:themeColor="accent3"/>
            </w:tcBorders>
          </w:tcPr>
          <w:p w14:paraId="099AD85E" w14:textId="77777777" w:rsidR="00893E0A" w:rsidRPr="00DC4B04" w:rsidRDefault="00DC4B04"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Un premier rapport (Gabor, 2016) a estimé que le coût par comparution devant le tribunal pour adultes en 2014 pour le système de justice pénale était de 6 886,03 $.</w:t>
            </w:r>
          </w:p>
        </w:tc>
      </w:tr>
      <w:tr w:rsidR="004976DD" w:rsidRPr="00DC4B04" w14:paraId="23343663"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71656CEF" w14:textId="77777777" w:rsidR="00893E0A" w:rsidRPr="00DC4B04" w:rsidRDefault="00DC4B04" w:rsidP="00893E0A">
            <w:pPr>
              <w:spacing w:after="0" w:line="240" w:lineRule="auto"/>
              <w:rPr>
                <w:sz w:val="24"/>
                <w:szCs w:val="24"/>
              </w:rPr>
            </w:pPr>
            <w:r>
              <w:rPr>
                <w:sz w:val="24"/>
                <w:szCs w:val="24"/>
              </w:rPr>
              <w:t xml:space="preserve">Infraction ou enquête sur les drogues </w:t>
            </w:r>
          </w:p>
        </w:tc>
        <w:tc>
          <w:tcPr>
            <w:tcW w:w="2835" w:type="dxa"/>
            <w:tcBorders>
              <w:bottom w:val="single" w:sz="4" w:space="0" w:color="467C81" w:themeColor="accent3"/>
            </w:tcBorders>
          </w:tcPr>
          <w:p w14:paraId="5B10F6FF" w14:textId="77777777" w:rsidR="00893E0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3 861,85 $</w:t>
            </w:r>
          </w:p>
        </w:tc>
        <w:tc>
          <w:tcPr>
            <w:tcW w:w="7818" w:type="dxa"/>
            <w:tcBorders>
              <w:bottom w:val="single" w:sz="4" w:space="0" w:color="467C81" w:themeColor="accent3"/>
            </w:tcBorders>
          </w:tcPr>
          <w:p w14:paraId="34E07D50" w14:textId="77777777" w:rsidR="00893E0A" w:rsidRPr="00DC4B04" w:rsidRDefault="00DC4B04"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Un premier rapport (Ellingwood, 2015) a estimé que le coût par infraction ou enquête sur la drogue en 2013, qui combinait les coûts de possession et de trafic de cocaïne du Programme de déclaration uniforme de la criminalité, était de 2 889,93 $ par infraction ou enquête. </w:t>
            </w:r>
          </w:p>
        </w:tc>
      </w:tr>
      <w:tr w:rsidR="004976DD" w:rsidRPr="00DC4B04" w14:paraId="3247936D"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25174304" w14:textId="77777777" w:rsidR="00893E0A" w:rsidRPr="00DC4B04" w:rsidRDefault="00DC4B04" w:rsidP="00893E0A">
            <w:pPr>
              <w:spacing w:after="0" w:line="240" w:lineRule="auto"/>
              <w:rPr>
                <w:sz w:val="24"/>
                <w:szCs w:val="24"/>
              </w:rPr>
            </w:pPr>
            <w:r>
              <w:rPr>
                <w:sz w:val="24"/>
                <w:szCs w:val="24"/>
              </w:rPr>
              <w:t xml:space="preserve">Garde provinciale </w:t>
            </w:r>
          </w:p>
        </w:tc>
        <w:tc>
          <w:tcPr>
            <w:tcW w:w="2835" w:type="dxa"/>
            <w:tcBorders>
              <w:top w:val="single" w:sz="4" w:space="0" w:color="467C81" w:themeColor="accent3"/>
            </w:tcBorders>
          </w:tcPr>
          <w:p w14:paraId="0872BC22" w14:textId="77777777" w:rsidR="00893E0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340,59 $</w:t>
            </w:r>
          </w:p>
        </w:tc>
        <w:tc>
          <w:tcPr>
            <w:tcW w:w="7818" w:type="dxa"/>
            <w:tcBorders>
              <w:top w:val="single" w:sz="4" w:space="0" w:color="467C81" w:themeColor="accent3"/>
            </w:tcBorders>
          </w:tcPr>
          <w:p w14:paraId="34A8295D" w14:textId="19578C8E" w:rsidR="00893E0A" w:rsidRPr="00DC4B04" w:rsidRDefault="00DC4B04"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 coût a été déterminé selon le Rapport sur les indicateurs clés des services correctionnels pour les adultes (Statistique Canada, 2024). Il s</w:t>
            </w:r>
            <w:r w:rsidR="003B5177">
              <w:rPr>
                <w:sz w:val="24"/>
                <w:szCs w:val="24"/>
              </w:rPr>
              <w:t>’</w:t>
            </w:r>
            <w:r>
              <w:rPr>
                <w:sz w:val="24"/>
                <w:szCs w:val="24"/>
              </w:rPr>
              <w:t xml:space="preserve">agit du coût quotidien moyen estimé entre les provinces et les territoires, dérivé des coûts de fonctionnement des établissements et du nombre de personnes en détention en 2023, qui a été estimé à 326,00 $ par jour. </w:t>
            </w:r>
          </w:p>
        </w:tc>
      </w:tr>
      <w:tr w:rsidR="004976DD" w:rsidRPr="00DC4B04" w14:paraId="42109C1E"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7EEF90BD" w14:textId="77777777" w:rsidR="00893E0A" w:rsidRPr="00DC4B04" w:rsidRDefault="00DC4B04" w:rsidP="00893E0A">
            <w:pPr>
              <w:spacing w:after="0" w:line="240" w:lineRule="auto"/>
              <w:rPr>
                <w:sz w:val="24"/>
                <w:szCs w:val="24"/>
              </w:rPr>
            </w:pPr>
            <w:r>
              <w:rPr>
                <w:sz w:val="24"/>
                <w:szCs w:val="24"/>
              </w:rPr>
              <w:t>Voies de fait graves</w:t>
            </w:r>
          </w:p>
        </w:tc>
        <w:tc>
          <w:tcPr>
            <w:tcW w:w="2835" w:type="dxa"/>
          </w:tcPr>
          <w:p w14:paraId="4790A230" w14:textId="77777777" w:rsidR="00893E0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20 097,31 $</w:t>
            </w:r>
          </w:p>
        </w:tc>
        <w:tc>
          <w:tcPr>
            <w:tcW w:w="7818" w:type="dxa"/>
          </w:tcPr>
          <w:p w14:paraId="12AAEB46" w14:textId="77777777" w:rsidR="00893E0A" w:rsidRPr="00DC4B04" w:rsidRDefault="00DC4B04"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Un premier rapport (Gabor, 2016) a estimé que le coût par voie de fait grave en 2014 pour le système de justice pénale était de 15 398,92 $.</w:t>
            </w:r>
          </w:p>
        </w:tc>
      </w:tr>
      <w:tr w:rsidR="004976DD" w:rsidRPr="00DC4B04" w14:paraId="23294441"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124213E0" w14:textId="77777777" w:rsidR="00893E0A" w:rsidRPr="00DC4B04" w:rsidRDefault="00DC4B04" w:rsidP="00893E0A">
            <w:pPr>
              <w:spacing w:after="0" w:line="240" w:lineRule="auto"/>
              <w:rPr>
                <w:sz w:val="24"/>
                <w:szCs w:val="24"/>
              </w:rPr>
            </w:pPr>
            <w:r>
              <w:rPr>
                <w:sz w:val="24"/>
                <w:szCs w:val="24"/>
              </w:rPr>
              <w:t>Voies de fait causant des lésions corporelles</w:t>
            </w:r>
          </w:p>
        </w:tc>
        <w:tc>
          <w:tcPr>
            <w:tcW w:w="2835" w:type="dxa"/>
          </w:tcPr>
          <w:p w14:paraId="0C013E36" w14:textId="77777777" w:rsidR="00893E0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20 097,31 $</w:t>
            </w:r>
          </w:p>
        </w:tc>
        <w:tc>
          <w:tcPr>
            <w:tcW w:w="7818" w:type="dxa"/>
          </w:tcPr>
          <w:p w14:paraId="26BC5C2F" w14:textId="77777777" w:rsidR="00893E0A" w:rsidRPr="00DC4B04" w:rsidRDefault="00DC4B04"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Un premier rapport (Gabor, 2016) a estimé que le coût par voie de fait causant des lésions corporelles en 2014 pour le système de justice pénale était de 15 398,31 $.</w:t>
            </w:r>
          </w:p>
        </w:tc>
      </w:tr>
      <w:tr w:rsidR="004976DD" w:rsidRPr="00DC4B04" w14:paraId="16AF61E2"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012C288A" w14:textId="77777777" w:rsidR="00893E0A" w:rsidRPr="00DC4B04" w:rsidRDefault="00DC4B04" w:rsidP="00893E0A">
            <w:pPr>
              <w:spacing w:after="0" w:line="240" w:lineRule="auto"/>
              <w:rPr>
                <w:sz w:val="24"/>
                <w:szCs w:val="24"/>
              </w:rPr>
            </w:pPr>
            <w:r>
              <w:rPr>
                <w:sz w:val="24"/>
                <w:szCs w:val="24"/>
              </w:rPr>
              <w:t>Menaces</w:t>
            </w:r>
          </w:p>
        </w:tc>
        <w:tc>
          <w:tcPr>
            <w:tcW w:w="2835" w:type="dxa"/>
          </w:tcPr>
          <w:p w14:paraId="161BEF15" w14:textId="77777777" w:rsidR="00893E0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5 087,17 $</w:t>
            </w:r>
          </w:p>
        </w:tc>
        <w:tc>
          <w:tcPr>
            <w:tcW w:w="7818" w:type="dxa"/>
          </w:tcPr>
          <w:p w14:paraId="48AFADE7" w14:textId="5C224E5C" w:rsidR="00893E0A" w:rsidRPr="00DC4B04" w:rsidRDefault="00DC4B04"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Proférer des menaces est une infraction criminelle selon l</w:t>
            </w:r>
            <w:r w:rsidR="003B5177">
              <w:rPr>
                <w:sz w:val="24"/>
                <w:szCs w:val="24"/>
              </w:rPr>
              <w:t>’</w:t>
            </w:r>
            <w:r>
              <w:rPr>
                <w:sz w:val="24"/>
                <w:szCs w:val="24"/>
              </w:rPr>
              <w:t xml:space="preserve">alinéa 264.1(1)a) du </w:t>
            </w:r>
            <w:r w:rsidRPr="00DA4F1A">
              <w:rPr>
                <w:i/>
                <w:iCs/>
                <w:sz w:val="24"/>
                <w:szCs w:val="24"/>
              </w:rPr>
              <w:t>Code</w:t>
            </w:r>
            <w:r>
              <w:rPr>
                <w:i/>
                <w:iCs/>
                <w:sz w:val="24"/>
                <w:szCs w:val="24"/>
              </w:rPr>
              <w:t xml:space="preserve"> criminel canadien </w:t>
            </w:r>
            <w:r>
              <w:rPr>
                <w:sz w:val="24"/>
                <w:szCs w:val="24"/>
              </w:rPr>
              <w:t>(1985) et est passible d</w:t>
            </w:r>
            <w:r w:rsidR="003B5177">
              <w:rPr>
                <w:sz w:val="24"/>
                <w:szCs w:val="24"/>
              </w:rPr>
              <w:t>’</w:t>
            </w:r>
            <w:r>
              <w:rPr>
                <w:sz w:val="24"/>
                <w:szCs w:val="24"/>
              </w:rPr>
              <w:t>une amende pouvant aller jusqu</w:t>
            </w:r>
            <w:r w:rsidR="003B5177">
              <w:rPr>
                <w:sz w:val="24"/>
                <w:szCs w:val="24"/>
              </w:rPr>
              <w:t>’</w:t>
            </w:r>
            <w:r>
              <w:rPr>
                <w:sz w:val="24"/>
                <w:szCs w:val="24"/>
              </w:rPr>
              <w:t>à 5 000,00 $ ou d</w:t>
            </w:r>
            <w:r w:rsidR="003B5177">
              <w:rPr>
                <w:sz w:val="24"/>
                <w:szCs w:val="24"/>
              </w:rPr>
              <w:t>’</w:t>
            </w:r>
            <w:r>
              <w:rPr>
                <w:sz w:val="24"/>
                <w:szCs w:val="24"/>
              </w:rPr>
              <w:t>une peine d</w:t>
            </w:r>
            <w:r w:rsidR="003B5177">
              <w:rPr>
                <w:sz w:val="24"/>
                <w:szCs w:val="24"/>
              </w:rPr>
              <w:t>’</w:t>
            </w:r>
            <w:r>
              <w:rPr>
                <w:sz w:val="24"/>
                <w:szCs w:val="24"/>
              </w:rPr>
              <w:t>emprisonnement de deux ans moins un jour (Caramanna Friedberg, 2024).</w:t>
            </w:r>
          </w:p>
        </w:tc>
      </w:tr>
      <w:tr w:rsidR="004976DD" w:rsidRPr="00DC4B04" w14:paraId="011D5ECD" w14:textId="77777777" w:rsidTr="00D73061">
        <w:trPr>
          <w:trHeight w:val="458"/>
        </w:trPr>
        <w:tc>
          <w:tcPr>
            <w:cnfStyle w:val="001000000000" w:firstRow="0" w:lastRow="0" w:firstColumn="1" w:lastColumn="0" w:oddVBand="0" w:evenVBand="0" w:oddHBand="0" w:evenHBand="0" w:firstRowFirstColumn="0" w:firstRowLastColumn="0" w:lastRowFirstColumn="0" w:lastRowLastColumn="0"/>
            <w:tcW w:w="2552" w:type="dxa"/>
          </w:tcPr>
          <w:p w14:paraId="614AC68F" w14:textId="77777777" w:rsidR="00893E0A" w:rsidRPr="00DC4B04" w:rsidRDefault="00DC4B04" w:rsidP="00893E0A">
            <w:pPr>
              <w:spacing w:after="0" w:line="240" w:lineRule="auto"/>
              <w:rPr>
                <w:sz w:val="24"/>
                <w:szCs w:val="24"/>
              </w:rPr>
            </w:pPr>
            <w:r>
              <w:rPr>
                <w:sz w:val="24"/>
                <w:szCs w:val="24"/>
              </w:rPr>
              <w:t xml:space="preserve">Prison fédérale </w:t>
            </w:r>
          </w:p>
        </w:tc>
        <w:tc>
          <w:tcPr>
            <w:tcW w:w="2835" w:type="dxa"/>
          </w:tcPr>
          <w:p w14:paraId="0CB04347" w14:textId="77777777" w:rsidR="00893E0A" w:rsidRPr="00DC4B04" w:rsidRDefault="00DC4B04"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447,16 $</w:t>
            </w:r>
          </w:p>
        </w:tc>
        <w:tc>
          <w:tcPr>
            <w:tcW w:w="7818" w:type="dxa"/>
          </w:tcPr>
          <w:p w14:paraId="6111C0C6" w14:textId="44C04DE8" w:rsidR="00893E0A" w:rsidRPr="00DC4B04" w:rsidRDefault="00DC4B04"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 coût a été déterminé selon le Rapport sur les indicateurs clés des services correctionnels pour les adultes (Statistique Canada, 2024). Il est dérivé des coûts de fonctionnement de l</w:t>
            </w:r>
            <w:r w:rsidR="003B5177">
              <w:rPr>
                <w:sz w:val="24"/>
                <w:szCs w:val="24"/>
              </w:rPr>
              <w:t>’</w:t>
            </w:r>
            <w:r>
              <w:rPr>
                <w:sz w:val="24"/>
                <w:szCs w:val="24"/>
              </w:rPr>
              <w:t xml:space="preserve">établissement et du nombre de personnes en détention en 2023, qui a été estimé à 428,00 $ par jour. </w:t>
            </w:r>
          </w:p>
        </w:tc>
      </w:tr>
    </w:tbl>
    <w:p w14:paraId="5ECA7D0B" w14:textId="77777777" w:rsidR="00C80AFA" w:rsidRPr="00DC4B04" w:rsidRDefault="00C80AFA" w:rsidP="00CD5DC0">
      <w:pPr>
        <w:spacing w:after="160" w:line="259" w:lineRule="auto"/>
        <w:sectPr w:rsidR="00C80AFA" w:rsidRPr="00DC4B04" w:rsidSect="00C80AFA">
          <w:headerReference w:type="first" r:id="rId33"/>
          <w:pgSz w:w="15840" w:h="12240" w:orient="landscape" w:code="1"/>
          <w:pgMar w:top="1440" w:right="1440" w:bottom="1440" w:left="1440" w:header="720" w:footer="0" w:gutter="0"/>
          <w:cols w:space="720"/>
          <w:titlePg/>
          <w:docGrid w:linePitch="360"/>
        </w:sectPr>
      </w:pPr>
    </w:p>
    <w:p w14:paraId="192BED09" w14:textId="77777777" w:rsidR="00CD5DC0" w:rsidRPr="003B5177" w:rsidRDefault="00DC4B04" w:rsidP="00CD5DC0">
      <w:pPr>
        <w:pStyle w:val="Heading2"/>
        <w:rPr>
          <w:rFonts w:eastAsia="Times New Roman"/>
        </w:rPr>
      </w:pPr>
      <w:bookmarkStart w:id="14" w:name="_Toc206140390"/>
      <w:r w:rsidRPr="003B5177">
        <w:t>Références</w:t>
      </w:r>
      <w:bookmarkEnd w:id="14"/>
    </w:p>
    <w:p w14:paraId="3C080808" w14:textId="7058BB0B" w:rsidR="00141B6B" w:rsidRPr="00914BE8" w:rsidRDefault="00141B6B" w:rsidP="00141B6B">
      <w:pPr>
        <w:spacing w:after="240"/>
        <w:rPr>
          <w:rFonts w:eastAsia="Calibri" w:cs="Times New Roman"/>
          <w:sz w:val="22"/>
          <w:lang w:val="en-CA"/>
        </w:rPr>
      </w:pPr>
      <w:r w:rsidRPr="00914BE8">
        <w:rPr>
          <w:sz w:val="22"/>
          <w:szCs w:val="18"/>
        </w:rPr>
        <w:t xml:space="preserve">Andrews, D. A., Bonta, J. et Wormith, J. S. (2006). </w:t>
      </w:r>
      <w:hyperlink r:id="rId34" w:history="1">
        <w:r w:rsidR="002E17C3">
          <w:rPr>
            <w:rStyle w:val="Hyperlink"/>
            <w:sz w:val="22"/>
            <w:szCs w:val="18"/>
            <w:lang w:val="en-CA"/>
          </w:rPr>
          <w:t>The Recent Past and Near Future of Risk and/or Need Assessment (en anglais seulement)</w:t>
        </w:r>
      </w:hyperlink>
      <w:r w:rsidRPr="00914BE8">
        <w:rPr>
          <w:sz w:val="22"/>
          <w:szCs w:val="18"/>
          <w:lang w:val="en-CA"/>
        </w:rPr>
        <w:t xml:space="preserve">. </w:t>
      </w:r>
      <w:r w:rsidRPr="00914BE8">
        <w:rPr>
          <w:i/>
          <w:iCs/>
          <w:sz w:val="22"/>
          <w:lang w:val="en-CA"/>
        </w:rPr>
        <w:t>Crime and Delinquency, 52</w:t>
      </w:r>
      <w:r w:rsidRPr="00914BE8">
        <w:rPr>
          <w:sz w:val="22"/>
          <w:szCs w:val="18"/>
          <w:lang w:val="en-CA"/>
        </w:rPr>
        <w:t xml:space="preserve">(1), 7-27. </w:t>
      </w:r>
    </w:p>
    <w:p w14:paraId="1B28F19A" w14:textId="621CF011" w:rsidR="00141B6B" w:rsidRPr="00914BE8" w:rsidRDefault="00141B6B" w:rsidP="00141B6B">
      <w:pPr>
        <w:spacing w:after="240"/>
        <w:rPr>
          <w:rFonts w:eastAsia="Calibri" w:cs="Times New Roman"/>
          <w:sz w:val="22"/>
          <w:lang w:val="en-CA"/>
        </w:rPr>
      </w:pPr>
      <w:r w:rsidRPr="00914BE8">
        <w:rPr>
          <w:sz w:val="22"/>
          <w:szCs w:val="18"/>
          <w:lang w:val="en-CA"/>
        </w:rPr>
        <w:t>Andrews, D. A., Zinger, I., Hoge, R. D., Bonta, J., Gendreau, P. et Cullen, F. T. (1990). Does Correctional Treatment Work? A Clinically Relevant and Psychologically Informed Meta-Analysis</w:t>
      </w:r>
      <w:r w:rsidR="002E17C3">
        <w:rPr>
          <w:sz w:val="22"/>
          <w:szCs w:val="18"/>
          <w:lang w:val="en-CA"/>
        </w:rPr>
        <w:t xml:space="preserve"> (</w:t>
      </w:r>
      <w:r w:rsidR="002E17C3" w:rsidRPr="002E17C3">
        <w:rPr>
          <w:sz w:val="22"/>
          <w:szCs w:val="18"/>
          <w:lang w:val="en-CA"/>
        </w:rPr>
        <w:t>en anglais seulement</w:t>
      </w:r>
      <w:r w:rsidR="002E17C3">
        <w:rPr>
          <w:sz w:val="22"/>
          <w:szCs w:val="18"/>
          <w:lang w:val="en-CA"/>
        </w:rPr>
        <w:t>)</w:t>
      </w:r>
      <w:r w:rsidRPr="00914BE8">
        <w:rPr>
          <w:sz w:val="22"/>
          <w:szCs w:val="18"/>
          <w:lang w:val="en-CA"/>
        </w:rPr>
        <w:t xml:space="preserve">. </w:t>
      </w:r>
      <w:r w:rsidRPr="00914BE8">
        <w:rPr>
          <w:i/>
          <w:iCs/>
          <w:sz w:val="22"/>
          <w:lang w:val="en-CA"/>
        </w:rPr>
        <w:t>Criminology, 28</w:t>
      </w:r>
      <w:r w:rsidRPr="00914BE8">
        <w:rPr>
          <w:sz w:val="22"/>
          <w:szCs w:val="18"/>
          <w:lang w:val="en-CA"/>
        </w:rPr>
        <w:t>, 369.</w:t>
      </w:r>
    </w:p>
    <w:p w14:paraId="0CC95A7E" w14:textId="70523510" w:rsidR="00141B6B" w:rsidRPr="00BC1B61" w:rsidRDefault="00141B6B" w:rsidP="00141B6B">
      <w:pPr>
        <w:spacing w:after="240"/>
        <w:rPr>
          <w:rFonts w:eastAsia="Calibri" w:cs="Times New Roman"/>
          <w:sz w:val="22"/>
          <w:lang w:val="en-CA"/>
        </w:rPr>
      </w:pPr>
      <w:r w:rsidRPr="00914BE8">
        <w:rPr>
          <w:sz w:val="22"/>
          <w:szCs w:val="18"/>
          <w:lang w:val="en-CA"/>
        </w:rPr>
        <w:t xml:space="preserve">Battams, S., Delany-Crowe, T., Fisher, M., Wright, L., Krieg, A., McDermott, D. et Baum, F. (2021). </w:t>
      </w:r>
      <w:hyperlink r:id="rId35" w:history="1">
        <w:r w:rsidR="00123727">
          <w:rPr>
            <w:rStyle w:val="Hyperlink"/>
            <w:sz w:val="22"/>
            <w:szCs w:val="18"/>
            <w:lang w:val="en-CA"/>
          </w:rPr>
          <w:t>Applying Crime Prevention and Health Promotion Frameworks to the Problem of High Incarceration Rates for Aboriginal and Torres Strait Islander Populations: Lessons from a Case Study from Victoria (en anglais seulement)</w:t>
        </w:r>
      </w:hyperlink>
      <w:r w:rsidRPr="00914BE8">
        <w:rPr>
          <w:i/>
          <w:iCs/>
          <w:sz w:val="22"/>
          <w:lang w:val="en-CA"/>
        </w:rPr>
        <w:t xml:space="preserve">. </w:t>
      </w:r>
      <w:r w:rsidRPr="00BC1B61">
        <w:rPr>
          <w:i/>
          <w:iCs/>
          <w:sz w:val="22"/>
          <w:lang w:val="en-CA"/>
        </w:rPr>
        <w:t>The International Indigenous Policy Journal, 12</w:t>
      </w:r>
      <w:r w:rsidRPr="00BC1B61">
        <w:rPr>
          <w:sz w:val="22"/>
          <w:szCs w:val="18"/>
          <w:lang w:val="en-CA"/>
        </w:rPr>
        <w:t xml:space="preserve">(2), 1-29. </w:t>
      </w:r>
    </w:p>
    <w:p w14:paraId="23A15A6F" w14:textId="22C2BEDF" w:rsidR="00141B6B" w:rsidRPr="00BC1B61" w:rsidRDefault="00141B6B" w:rsidP="00141B6B">
      <w:pPr>
        <w:spacing w:after="240"/>
        <w:rPr>
          <w:rFonts w:eastAsia="Calibri" w:cs="Times New Roman"/>
          <w:sz w:val="22"/>
          <w:lang w:val="en-CA"/>
        </w:rPr>
      </w:pPr>
      <w:r w:rsidRPr="00BC1B61">
        <w:rPr>
          <w:sz w:val="22"/>
          <w:szCs w:val="18"/>
          <w:lang w:val="en-CA"/>
        </w:rPr>
        <w:t xml:space="preserve">. </w:t>
      </w:r>
    </w:p>
    <w:p w14:paraId="001712D2" w14:textId="27AC4913" w:rsidR="00141B6B" w:rsidRPr="00914BE8" w:rsidRDefault="00141B6B" w:rsidP="00141B6B">
      <w:pPr>
        <w:spacing w:after="240"/>
        <w:rPr>
          <w:rFonts w:eastAsia="Calibri" w:cs="Times New Roman"/>
          <w:sz w:val="22"/>
          <w:lang w:val="en-CA"/>
        </w:rPr>
      </w:pPr>
      <w:r w:rsidRPr="00BC1B61">
        <w:rPr>
          <w:sz w:val="22"/>
          <w:szCs w:val="18"/>
          <w:lang w:val="en-CA"/>
        </w:rPr>
        <w:t xml:space="preserve">Bonta, J. et Andrews, D. A. (2024). </w:t>
      </w:r>
      <w:r w:rsidRPr="00914BE8">
        <w:rPr>
          <w:i/>
          <w:iCs/>
          <w:sz w:val="22"/>
          <w:lang w:val="en-CA"/>
        </w:rPr>
        <w:t>The Psychology of Criminal Conduct</w:t>
      </w:r>
      <w:r w:rsidRPr="00914BE8">
        <w:rPr>
          <w:sz w:val="22"/>
          <w:szCs w:val="18"/>
          <w:lang w:val="en-CA"/>
        </w:rPr>
        <w:t xml:space="preserve"> (7</w:t>
      </w:r>
      <w:r w:rsidRPr="00914BE8">
        <w:rPr>
          <w:sz w:val="22"/>
          <w:szCs w:val="18"/>
          <w:vertAlign w:val="superscript"/>
          <w:lang w:val="en-CA"/>
        </w:rPr>
        <w:t>e</w:t>
      </w:r>
      <w:r w:rsidRPr="00914BE8">
        <w:rPr>
          <w:sz w:val="22"/>
          <w:szCs w:val="18"/>
          <w:lang w:val="en-CA"/>
        </w:rPr>
        <w:t> édition)</w:t>
      </w:r>
      <w:r w:rsidR="00123727">
        <w:rPr>
          <w:sz w:val="22"/>
          <w:szCs w:val="18"/>
          <w:lang w:val="en-CA"/>
        </w:rPr>
        <w:t xml:space="preserve"> (</w:t>
      </w:r>
      <w:r w:rsidR="00123727" w:rsidRPr="002E17C3">
        <w:rPr>
          <w:sz w:val="22"/>
          <w:szCs w:val="18"/>
          <w:lang w:val="en-CA"/>
        </w:rPr>
        <w:t>en anglais seulement</w:t>
      </w:r>
      <w:r w:rsidR="00123727">
        <w:rPr>
          <w:sz w:val="22"/>
          <w:szCs w:val="18"/>
          <w:lang w:val="en-CA"/>
        </w:rPr>
        <w:t>)</w:t>
      </w:r>
      <w:r w:rsidRPr="00914BE8">
        <w:rPr>
          <w:sz w:val="22"/>
          <w:szCs w:val="18"/>
          <w:lang w:val="en-CA"/>
        </w:rPr>
        <w:t>. New York, NY: Routledge.</w:t>
      </w:r>
    </w:p>
    <w:p w14:paraId="1039A223" w14:textId="16263C9A" w:rsidR="00141B6B" w:rsidRPr="002E17C3" w:rsidRDefault="00141B6B" w:rsidP="00141B6B">
      <w:pPr>
        <w:spacing w:after="240"/>
        <w:rPr>
          <w:rFonts w:eastAsia="Calibri" w:cs="Times New Roman"/>
          <w:sz w:val="22"/>
          <w:lang w:val="fr-FR"/>
        </w:rPr>
      </w:pPr>
      <w:r w:rsidRPr="00914BE8">
        <w:rPr>
          <w:sz w:val="22"/>
          <w:szCs w:val="18"/>
          <w:lang w:val="en-CA"/>
        </w:rPr>
        <w:t xml:space="preserve">Canadian Centre of Integrative Psychology &amp; Healthcare. </w:t>
      </w:r>
      <w:r w:rsidRPr="002E17C3">
        <w:rPr>
          <w:sz w:val="22"/>
          <w:szCs w:val="18"/>
          <w:lang w:val="fr-FR"/>
        </w:rPr>
        <w:t xml:space="preserve">(2025). </w:t>
      </w:r>
      <w:hyperlink r:id="rId36" w:anchor=":~:text=Chartered%20Psychologists&amp;text=Assessment%20%2D%20Fees%20will%20differ%20depending,under%20services%20for%20more%20information" w:history="1">
        <w:r w:rsidR="00123727">
          <w:rPr>
            <w:rStyle w:val="Hyperlink"/>
            <w:i/>
            <w:iCs/>
            <w:sz w:val="22"/>
            <w:lang w:val="fr-FR"/>
          </w:rPr>
          <w:t>Ontario fees (en anglais seulement)</w:t>
        </w:r>
      </w:hyperlink>
      <w:r w:rsidRPr="002E17C3">
        <w:rPr>
          <w:sz w:val="22"/>
          <w:szCs w:val="18"/>
          <w:lang w:val="fr-FR"/>
        </w:rPr>
        <w:t xml:space="preserve">. </w:t>
      </w:r>
    </w:p>
    <w:p w14:paraId="0E0DD3C3" w14:textId="47FA6257" w:rsidR="00141B6B" w:rsidRPr="00914BE8" w:rsidRDefault="00141B6B" w:rsidP="00141B6B">
      <w:pPr>
        <w:spacing w:after="240"/>
        <w:rPr>
          <w:rFonts w:eastAsia="Calibri" w:cs="Times New Roman"/>
          <w:sz w:val="22"/>
          <w:lang w:val="en-CA"/>
        </w:rPr>
      </w:pPr>
      <w:r w:rsidRPr="00914BE8">
        <w:rPr>
          <w:sz w:val="22"/>
          <w:szCs w:val="18"/>
          <w:lang w:val="en-CA"/>
        </w:rPr>
        <w:t xml:space="preserve">Caramanna Friedberg. (2024). </w:t>
      </w:r>
      <w:hyperlink r:id="rId37" w:anchor=":~:text=Uttering%20Threats%20is%20a%20hybrid,summary%20conviction%20or%20by%20indictment.&amp;text=If%20the%20Crown%20proceeds%20by,less%20a%20day%2C%20or%20both" w:history="1">
        <w:r w:rsidR="00123727">
          <w:rPr>
            <w:rStyle w:val="Hyperlink"/>
            <w:i/>
            <w:iCs/>
            <w:sz w:val="22"/>
            <w:lang w:val="en-CA"/>
          </w:rPr>
          <w:t>Uttering Threats Lawyer Toronto (en anglais seulement)</w:t>
        </w:r>
      </w:hyperlink>
      <w:r w:rsidRPr="00914BE8">
        <w:rPr>
          <w:sz w:val="22"/>
          <w:szCs w:val="18"/>
          <w:lang w:val="en-CA"/>
        </w:rPr>
        <w:t xml:space="preserve">. </w:t>
      </w:r>
    </w:p>
    <w:p w14:paraId="4381A611" w14:textId="6B9B8529" w:rsidR="00141B6B" w:rsidRPr="002E17C3" w:rsidRDefault="00141B6B" w:rsidP="00141B6B">
      <w:pPr>
        <w:spacing w:after="240"/>
        <w:rPr>
          <w:rFonts w:eastAsia="Calibri" w:cs="Times New Roman"/>
          <w:sz w:val="22"/>
          <w:lang w:val="fr-FR"/>
        </w:rPr>
      </w:pPr>
      <w:r w:rsidRPr="00914BE8">
        <w:rPr>
          <w:sz w:val="22"/>
          <w:szCs w:val="18"/>
          <w:lang w:val="en-CA"/>
        </w:rPr>
        <w:t xml:space="preserve">CoParenter. (2022). </w:t>
      </w:r>
      <w:hyperlink r:id="rId38" w:history="1">
        <w:r w:rsidR="00123727">
          <w:rPr>
            <w:rStyle w:val="Hyperlink"/>
            <w:i/>
            <w:iCs/>
            <w:sz w:val="22"/>
            <w:lang w:val="en-CA"/>
          </w:rPr>
          <w:t xml:space="preserve">How much does a custody battle cost? </w:t>
        </w:r>
        <w:r w:rsidR="00123727" w:rsidRPr="00BC1B61">
          <w:rPr>
            <w:rStyle w:val="Hyperlink"/>
            <w:i/>
            <w:iCs/>
            <w:sz w:val="22"/>
            <w:lang w:val="fr-FR"/>
          </w:rPr>
          <w:t>(en anglais seulement)</w:t>
        </w:r>
      </w:hyperlink>
      <w:r w:rsidRPr="00BC1B61">
        <w:rPr>
          <w:i/>
          <w:iCs/>
          <w:sz w:val="22"/>
          <w:lang w:val="fr-FR"/>
        </w:rPr>
        <w:t xml:space="preserve"> </w:t>
      </w:r>
    </w:p>
    <w:p w14:paraId="5FCCB3BB" w14:textId="77777777" w:rsidR="00141B6B" w:rsidRPr="00914BE8" w:rsidRDefault="00141B6B" w:rsidP="00141B6B">
      <w:pPr>
        <w:spacing w:after="240"/>
        <w:rPr>
          <w:rFonts w:eastAsia="Calibri" w:cs="Times New Roman"/>
          <w:sz w:val="22"/>
        </w:rPr>
      </w:pPr>
      <w:r w:rsidRPr="00914BE8">
        <w:rPr>
          <w:i/>
          <w:iCs/>
          <w:sz w:val="22"/>
          <w:szCs w:val="18"/>
        </w:rPr>
        <w:t>Code criminel</w:t>
      </w:r>
      <w:r w:rsidRPr="00914BE8">
        <w:rPr>
          <w:sz w:val="22"/>
          <w:szCs w:val="18"/>
        </w:rPr>
        <w:t xml:space="preserve">. L.R.C. (1985), ch. C-46. </w:t>
      </w:r>
    </w:p>
    <w:p w14:paraId="4B180797" w14:textId="2DC431DD" w:rsidR="00141B6B" w:rsidRPr="00914BE8" w:rsidRDefault="00141B6B" w:rsidP="00141B6B">
      <w:pPr>
        <w:spacing w:after="240"/>
        <w:rPr>
          <w:rFonts w:eastAsia="Calibri" w:cs="Times New Roman"/>
          <w:sz w:val="22"/>
        </w:rPr>
      </w:pPr>
      <w:r w:rsidRPr="00914BE8">
        <w:rPr>
          <w:sz w:val="22"/>
          <w:szCs w:val="18"/>
        </w:rPr>
        <w:t>Day, D. M., Koegl, C. J., Rossman, L. et Oziel, S. (2016).</w:t>
      </w:r>
      <w:r w:rsidRPr="00914BE8">
        <w:rPr>
          <w:i/>
          <w:iCs/>
          <w:sz w:val="22"/>
        </w:rPr>
        <w:t xml:space="preserve"> </w:t>
      </w:r>
      <w:hyperlink r:id="rId39" w:history="1">
        <w:r w:rsidRPr="00914BE8">
          <w:rPr>
            <w:rStyle w:val="Hyperlink"/>
            <w:i/>
            <w:iCs/>
            <w:sz w:val="22"/>
          </w:rPr>
          <w:t>Coûts des trajectoires criminelles d</w:t>
        </w:r>
        <w:r w:rsidR="003B5177" w:rsidRPr="00914BE8">
          <w:rPr>
            <w:rStyle w:val="Hyperlink"/>
            <w:i/>
            <w:iCs/>
            <w:sz w:val="22"/>
          </w:rPr>
          <w:t>’</w:t>
        </w:r>
        <w:r w:rsidRPr="00914BE8">
          <w:rPr>
            <w:rStyle w:val="Hyperlink"/>
            <w:i/>
            <w:iCs/>
            <w:sz w:val="22"/>
          </w:rPr>
          <w:t>un échantillon de délinquants de l</w:t>
        </w:r>
        <w:r w:rsidR="003B5177" w:rsidRPr="00914BE8">
          <w:rPr>
            <w:rStyle w:val="Hyperlink"/>
            <w:i/>
            <w:iCs/>
            <w:sz w:val="22"/>
          </w:rPr>
          <w:t>’</w:t>
        </w:r>
        <w:r w:rsidRPr="00914BE8">
          <w:rPr>
            <w:rStyle w:val="Hyperlink"/>
            <w:i/>
            <w:iCs/>
            <w:sz w:val="22"/>
          </w:rPr>
          <w:t>Ontario</w:t>
        </w:r>
      </w:hyperlink>
      <w:r w:rsidRPr="00914BE8">
        <w:rPr>
          <w:sz w:val="22"/>
          <w:szCs w:val="18"/>
        </w:rPr>
        <w:t>.</w:t>
      </w:r>
      <w:r w:rsidRPr="00914BE8">
        <w:rPr>
          <w:i/>
          <w:iCs/>
          <w:sz w:val="22"/>
        </w:rPr>
        <w:t xml:space="preserve"> </w:t>
      </w:r>
      <w:r w:rsidRPr="00914BE8">
        <w:rPr>
          <w:sz w:val="22"/>
          <w:szCs w:val="18"/>
        </w:rPr>
        <w:t xml:space="preserve">Sécurité publique Canada, R011. </w:t>
      </w:r>
    </w:p>
    <w:p w14:paraId="73E812F4" w14:textId="19534D2D" w:rsidR="00141B6B" w:rsidRPr="00914BE8" w:rsidRDefault="00141B6B" w:rsidP="00141B6B">
      <w:pPr>
        <w:spacing w:after="240"/>
        <w:rPr>
          <w:rFonts w:eastAsia="Calibri" w:cs="Times New Roman"/>
          <w:sz w:val="22"/>
        </w:rPr>
      </w:pPr>
      <w:r w:rsidRPr="00914BE8">
        <w:rPr>
          <w:sz w:val="22"/>
          <w:szCs w:val="18"/>
        </w:rPr>
        <w:t>Ellingwood, H. (201</w:t>
      </w:r>
      <w:r w:rsidR="00D2687C" w:rsidRPr="00914BE8">
        <w:rPr>
          <w:sz w:val="22"/>
          <w:szCs w:val="18"/>
        </w:rPr>
        <w:t>5</w:t>
      </w:r>
      <w:r w:rsidRPr="00914BE8">
        <w:rPr>
          <w:sz w:val="22"/>
          <w:szCs w:val="18"/>
        </w:rPr>
        <w:t xml:space="preserve">). </w:t>
      </w:r>
      <w:hyperlink r:id="rId40" w:history="1">
        <w:r w:rsidRPr="00914BE8">
          <w:rPr>
            <w:rStyle w:val="Hyperlink"/>
            <w:i/>
            <w:iCs/>
            <w:sz w:val="22"/>
          </w:rPr>
          <w:t>Une meilleure estimation des coûts liés aux services de police selon les types d</w:t>
        </w:r>
        <w:r w:rsidR="003B5177" w:rsidRPr="00914BE8">
          <w:rPr>
            <w:rStyle w:val="Hyperlink"/>
            <w:i/>
            <w:iCs/>
            <w:sz w:val="22"/>
          </w:rPr>
          <w:t>’</w:t>
        </w:r>
        <w:r w:rsidRPr="00914BE8">
          <w:rPr>
            <w:rStyle w:val="Hyperlink"/>
            <w:i/>
            <w:iCs/>
            <w:sz w:val="22"/>
          </w:rPr>
          <w:t>infraction</w:t>
        </w:r>
      </w:hyperlink>
      <w:r w:rsidRPr="00914BE8">
        <w:rPr>
          <w:sz w:val="22"/>
          <w:szCs w:val="18"/>
        </w:rPr>
        <w:t>.</w:t>
      </w:r>
      <w:r w:rsidRPr="00914BE8">
        <w:rPr>
          <w:i/>
          <w:iCs/>
          <w:sz w:val="22"/>
        </w:rPr>
        <w:t xml:space="preserve"> </w:t>
      </w:r>
      <w:r w:rsidRPr="00914BE8">
        <w:rPr>
          <w:sz w:val="22"/>
          <w:szCs w:val="18"/>
        </w:rPr>
        <w:t xml:space="preserve">Sécurité publique Canada, R-018. </w:t>
      </w:r>
    </w:p>
    <w:p w14:paraId="292C1872" w14:textId="77777777" w:rsidR="00141B6B" w:rsidRPr="00914BE8" w:rsidRDefault="00141B6B" w:rsidP="00141B6B">
      <w:pPr>
        <w:spacing w:after="240"/>
        <w:rPr>
          <w:rFonts w:eastAsia="Calibri" w:cs="Times New Roman"/>
          <w:sz w:val="22"/>
        </w:rPr>
      </w:pPr>
      <w:r w:rsidRPr="00914BE8">
        <w:rPr>
          <w:sz w:val="22"/>
          <w:szCs w:val="18"/>
        </w:rPr>
        <w:t xml:space="preserve">Services à la famille Ottawa. (s. d.). </w:t>
      </w:r>
      <w:hyperlink r:id="rId41" w:history="1">
        <w:r w:rsidRPr="00914BE8">
          <w:rPr>
            <w:rStyle w:val="Hyperlink"/>
            <w:i/>
            <w:iCs/>
            <w:sz w:val="22"/>
          </w:rPr>
          <w:t>La gestion de la colère... surtout pour les parents</w:t>
        </w:r>
      </w:hyperlink>
      <w:r w:rsidRPr="00914BE8">
        <w:rPr>
          <w:i/>
          <w:iCs/>
          <w:sz w:val="22"/>
        </w:rPr>
        <w:t xml:space="preserve">. </w:t>
      </w:r>
    </w:p>
    <w:p w14:paraId="1BB2A65B" w14:textId="44DE5108" w:rsidR="00141B6B" w:rsidRPr="00BC1B61" w:rsidRDefault="00141B6B" w:rsidP="00141B6B">
      <w:pPr>
        <w:spacing w:after="240"/>
        <w:rPr>
          <w:rFonts w:eastAsia="Calibri" w:cs="Times New Roman"/>
          <w:sz w:val="22"/>
          <w:lang w:val="fr-FR"/>
        </w:rPr>
      </w:pPr>
      <w:r w:rsidRPr="00914BE8">
        <w:rPr>
          <w:sz w:val="22"/>
          <w:szCs w:val="18"/>
        </w:rPr>
        <w:t xml:space="preserve">Farrington, D. (2019). </w:t>
      </w:r>
      <w:hyperlink r:id="rId42" w:history="1">
        <w:r w:rsidR="00123727">
          <w:rPr>
            <w:rStyle w:val="Hyperlink"/>
            <w:sz w:val="22"/>
            <w:szCs w:val="18"/>
            <w:lang w:val="en-CA"/>
          </w:rPr>
          <w:t>The integrated cognitive antisocial potential (ICAP) theory: Past, present, and future (en anglais seulement)</w:t>
        </w:r>
      </w:hyperlink>
      <w:r w:rsidRPr="00914BE8">
        <w:rPr>
          <w:sz w:val="22"/>
          <w:szCs w:val="18"/>
          <w:lang w:val="en-CA"/>
        </w:rPr>
        <w:t xml:space="preserve">. </w:t>
      </w:r>
      <w:r w:rsidRPr="00BC1B61">
        <w:rPr>
          <w:i/>
          <w:iCs/>
          <w:sz w:val="22"/>
          <w:lang w:val="fr-FR"/>
        </w:rPr>
        <w:t>Journal of Developmental and Life-Course Criminology</w:t>
      </w:r>
      <w:r w:rsidRPr="00BC1B61">
        <w:rPr>
          <w:sz w:val="22"/>
          <w:szCs w:val="18"/>
          <w:lang w:val="fr-FR"/>
        </w:rPr>
        <w:t xml:space="preserve">, 6(2). </w:t>
      </w:r>
    </w:p>
    <w:p w14:paraId="2FA4BBD7" w14:textId="77777777" w:rsidR="00141B6B" w:rsidRPr="00914BE8" w:rsidRDefault="00141B6B" w:rsidP="00141B6B">
      <w:pPr>
        <w:spacing w:after="240"/>
        <w:rPr>
          <w:rFonts w:eastAsia="Calibri" w:cs="Times New Roman"/>
          <w:sz w:val="22"/>
          <w:lang w:val="en-CA"/>
        </w:rPr>
      </w:pPr>
      <w:r w:rsidRPr="00BC1B61">
        <w:rPr>
          <w:sz w:val="22"/>
          <w:szCs w:val="18"/>
          <w:lang w:val="fr-FR"/>
        </w:rPr>
        <w:t xml:space="preserve">Gabor, T. (2016). </w:t>
      </w:r>
      <w:hyperlink r:id="rId43" w:history="1">
        <w:r w:rsidRPr="00914BE8">
          <w:rPr>
            <w:rStyle w:val="Hyperlink"/>
            <w:i/>
            <w:iCs/>
            <w:sz w:val="22"/>
          </w:rPr>
          <w:t>Coûts de la criminalité et des interventions du système de justice pénale</w:t>
        </w:r>
      </w:hyperlink>
      <w:r w:rsidRPr="00914BE8">
        <w:rPr>
          <w:sz w:val="22"/>
          <w:szCs w:val="18"/>
        </w:rPr>
        <w:t>.</w:t>
      </w:r>
      <w:r w:rsidRPr="00914BE8">
        <w:rPr>
          <w:i/>
          <w:iCs/>
          <w:sz w:val="22"/>
        </w:rPr>
        <w:t xml:space="preserve"> </w:t>
      </w:r>
      <w:r w:rsidRPr="00914BE8">
        <w:rPr>
          <w:sz w:val="22"/>
          <w:szCs w:val="18"/>
          <w:lang w:val="en-CA"/>
        </w:rPr>
        <w:t xml:space="preserve">Sécurité publique Canada, R022. </w:t>
      </w:r>
    </w:p>
    <w:p w14:paraId="5DC6E538" w14:textId="146AA9A5" w:rsidR="00141B6B" w:rsidRPr="00BC1B61" w:rsidRDefault="00141B6B" w:rsidP="00141B6B">
      <w:pPr>
        <w:spacing w:after="240"/>
        <w:rPr>
          <w:rFonts w:eastAsia="Calibri" w:cs="Times New Roman"/>
          <w:sz w:val="22"/>
          <w:lang w:val="en-CA"/>
        </w:rPr>
      </w:pPr>
      <w:r w:rsidRPr="00914BE8">
        <w:rPr>
          <w:sz w:val="22"/>
          <w:szCs w:val="18"/>
          <w:lang w:val="en-CA"/>
        </w:rPr>
        <w:t xml:space="preserve">Gallo, A., Belanger, M., Abracen, J., Looman, J., Picheca, J. et Stripe, T. (2014) </w:t>
      </w:r>
      <w:hyperlink r:id="rId44" w:history="1">
        <w:r w:rsidR="00123727">
          <w:rPr>
            <w:rStyle w:val="Hyperlink"/>
            <w:sz w:val="22"/>
            <w:szCs w:val="18"/>
            <w:lang w:val="en-CA"/>
          </w:rPr>
          <w:t>Treatment of High-Risk High-Need Sexual Offenders: The Integrated Risk Need Responsivity Model (RNR-I) (en anglais seulement)</w:t>
        </w:r>
      </w:hyperlink>
      <w:r w:rsidRPr="00914BE8">
        <w:rPr>
          <w:sz w:val="22"/>
          <w:szCs w:val="18"/>
          <w:lang w:val="en-CA"/>
        </w:rPr>
        <w:t>.</w:t>
      </w:r>
      <w:r w:rsidR="00123727">
        <w:rPr>
          <w:sz w:val="22"/>
          <w:szCs w:val="18"/>
          <w:lang w:val="en-CA"/>
        </w:rPr>
        <w:t xml:space="preserve"> </w:t>
      </w:r>
      <w:r w:rsidRPr="00BC1B61">
        <w:rPr>
          <w:i/>
          <w:iCs/>
          <w:sz w:val="22"/>
          <w:lang w:val="en-CA"/>
        </w:rPr>
        <w:t>Ann Psychiatry Ment Health 3</w:t>
      </w:r>
      <w:r w:rsidRPr="00BC1B61">
        <w:rPr>
          <w:sz w:val="22"/>
          <w:szCs w:val="18"/>
          <w:lang w:val="en-CA"/>
        </w:rPr>
        <w:t xml:space="preserve">(1): 1018. </w:t>
      </w:r>
    </w:p>
    <w:p w14:paraId="32548570" w14:textId="5556B659" w:rsidR="00141B6B" w:rsidRPr="00BC1B61" w:rsidRDefault="00141B6B" w:rsidP="00141B6B">
      <w:pPr>
        <w:spacing w:after="240"/>
        <w:rPr>
          <w:rFonts w:eastAsia="Calibri" w:cs="Times New Roman"/>
          <w:sz w:val="22"/>
          <w:lang w:val="en-CA"/>
        </w:rPr>
      </w:pPr>
      <w:r w:rsidRPr="00BC1B61">
        <w:rPr>
          <w:sz w:val="22"/>
          <w:szCs w:val="18"/>
          <w:lang w:val="en-CA"/>
        </w:rPr>
        <w:t>Gouvernement de l</w:t>
      </w:r>
      <w:r w:rsidR="003B5177" w:rsidRPr="00BC1B61">
        <w:rPr>
          <w:sz w:val="22"/>
          <w:szCs w:val="18"/>
          <w:lang w:val="en-CA"/>
        </w:rPr>
        <w:t>’</w:t>
      </w:r>
      <w:r w:rsidRPr="00BC1B61">
        <w:rPr>
          <w:sz w:val="22"/>
          <w:szCs w:val="18"/>
          <w:lang w:val="en-CA"/>
        </w:rPr>
        <w:t xml:space="preserve">Alberta. </w:t>
      </w:r>
      <w:r w:rsidRPr="00914BE8">
        <w:rPr>
          <w:sz w:val="22"/>
          <w:szCs w:val="18"/>
          <w:lang w:val="en-CA"/>
        </w:rPr>
        <w:t xml:space="preserve">(2015). </w:t>
      </w:r>
      <w:hyperlink r:id="rId45" w:history="1">
        <w:r w:rsidR="00123727">
          <w:rPr>
            <w:rStyle w:val="Hyperlink"/>
            <w:i/>
            <w:iCs/>
            <w:sz w:val="22"/>
            <w:lang w:val="en-CA"/>
          </w:rPr>
          <w:t>Safe Communities Innovation Fund Pilot Project Executive Summaries: Individual summaries written by Alberta community crime prevention organizations (en anglais seulement)</w:t>
        </w:r>
      </w:hyperlink>
      <w:r w:rsidRPr="00914BE8">
        <w:rPr>
          <w:i/>
          <w:iCs/>
          <w:sz w:val="22"/>
          <w:lang w:val="en-CA"/>
        </w:rPr>
        <w:t xml:space="preserve">. </w:t>
      </w:r>
    </w:p>
    <w:p w14:paraId="6F8FE955" w14:textId="77777777" w:rsidR="00141B6B" w:rsidRPr="00914BE8" w:rsidRDefault="00141B6B" w:rsidP="00141B6B">
      <w:pPr>
        <w:spacing w:after="240"/>
        <w:rPr>
          <w:rFonts w:eastAsia="Calibri" w:cs="Times New Roman"/>
          <w:sz w:val="22"/>
        </w:rPr>
      </w:pPr>
      <w:r w:rsidRPr="00914BE8">
        <w:rPr>
          <w:sz w:val="22"/>
          <w:szCs w:val="18"/>
        </w:rPr>
        <w:t xml:space="preserve">Gouvernement du Canada. (2024). </w:t>
      </w:r>
      <w:hyperlink r:id="rId46" w:history="1">
        <w:r w:rsidRPr="00914BE8">
          <w:rPr>
            <w:rStyle w:val="Hyperlink"/>
            <w:i/>
            <w:iCs/>
            <w:sz w:val="22"/>
          </w:rPr>
          <w:t>Guichet-Emplois : Enseignant/enseignante en éducation spécialisée au niveau primaire en Ontario</w:t>
        </w:r>
      </w:hyperlink>
      <w:r w:rsidRPr="00914BE8">
        <w:rPr>
          <w:sz w:val="22"/>
          <w:szCs w:val="18"/>
        </w:rPr>
        <w:t xml:space="preserve">. </w:t>
      </w:r>
    </w:p>
    <w:p w14:paraId="7EF7654D" w14:textId="38C1E56D" w:rsidR="00141B6B" w:rsidRPr="00914BE8" w:rsidRDefault="00141B6B" w:rsidP="00141B6B">
      <w:pPr>
        <w:spacing w:after="240"/>
        <w:rPr>
          <w:rFonts w:eastAsia="Calibri" w:cs="Times New Roman"/>
          <w:sz w:val="22"/>
        </w:rPr>
      </w:pPr>
      <w:r w:rsidRPr="00914BE8">
        <w:rPr>
          <w:sz w:val="22"/>
          <w:szCs w:val="18"/>
        </w:rPr>
        <w:t>Ministère de l</w:t>
      </w:r>
      <w:r w:rsidR="003B5177" w:rsidRPr="00914BE8">
        <w:rPr>
          <w:sz w:val="22"/>
          <w:szCs w:val="18"/>
        </w:rPr>
        <w:t>’</w:t>
      </w:r>
      <w:r w:rsidRPr="00914BE8">
        <w:rPr>
          <w:sz w:val="22"/>
          <w:szCs w:val="18"/>
        </w:rPr>
        <w:t>Éducation du gouvernement de l</w:t>
      </w:r>
      <w:r w:rsidR="003B5177" w:rsidRPr="00914BE8">
        <w:rPr>
          <w:sz w:val="22"/>
          <w:szCs w:val="18"/>
        </w:rPr>
        <w:t>’</w:t>
      </w:r>
      <w:r w:rsidRPr="00914BE8">
        <w:rPr>
          <w:sz w:val="22"/>
          <w:szCs w:val="18"/>
        </w:rPr>
        <w:t xml:space="preserve">Ontario. (2023). </w:t>
      </w:r>
      <w:hyperlink r:id="rId47" w:history="1">
        <w:r w:rsidRPr="00914BE8">
          <w:rPr>
            <w:rStyle w:val="Hyperlink"/>
            <w:i/>
            <w:iCs/>
            <w:sz w:val="22"/>
          </w:rPr>
          <w:t>Lignes directrices sur le financement de l</w:t>
        </w:r>
        <w:r w:rsidR="003B5177" w:rsidRPr="00914BE8">
          <w:rPr>
            <w:rStyle w:val="Hyperlink"/>
            <w:i/>
            <w:iCs/>
            <w:sz w:val="22"/>
          </w:rPr>
          <w:t>’</w:t>
        </w:r>
        <w:r w:rsidRPr="00914BE8">
          <w:rPr>
            <w:rStyle w:val="Hyperlink"/>
            <w:i/>
            <w:iCs/>
            <w:sz w:val="22"/>
          </w:rPr>
          <w:t>éducation de l</w:t>
        </w:r>
        <w:r w:rsidR="003B5177" w:rsidRPr="00914BE8">
          <w:rPr>
            <w:rStyle w:val="Hyperlink"/>
            <w:i/>
            <w:iCs/>
            <w:sz w:val="22"/>
          </w:rPr>
          <w:t>’</w:t>
        </w:r>
        <w:r w:rsidRPr="00914BE8">
          <w:rPr>
            <w:rStyle w:val="Hyperlink"/>
            <w:i/>
            <w:iCs/>
            <w:sz w:val="22"/>
          </w:rPr>
          <w:t>enfance en difficulté : Somme liée à l</w:t>
        </w:r>
        <w:r w:rsidR="003B5177" w:rsidRPr="00914BE8">
          <w:rPr>
            <w:rStyle w:val="Hyperlink"/>
            <w:i/>
            <w:iCs/>
            <w:sz w:val="22"/>
          </w:rPr>
          <w:t>’</w:t>
        </w:r>
        <w:r w:rsidRPr="00914BE8">
          <w:rPr>
            <w:rStyle w:val="Hyperlink"/>
            <w:i/>
            <w:iCs/>
            <w:sz w:val="22"/>
          </w:rPr>
          <w:t>équipement personnalisé (SEP)</w:t>
        </w:r>
      </w:hyperlink>
      <w:r w:rsidRPr="00914BE8">
        <w:rPr>
          <w:i/>
          <w:iCs/>
          <w:sz w:val="22"/>
        </w:rPr>
        <w:t>, 2023-2024</w:t>
      </w:r>
      <w:r w:rsidRPr="00914BE8">
        <w:rPr>
          <w:sz w:val="22"/>
          <w:szCs w:val="18"/>
        </w:rPr>
        <w:t xml:space="preserve">. </w:t>
      </w:r>
    </w:p>
    <w:p w14:paraId="73F62BE3" w14:textId="16AFBB10" w:rsidR="00141B6B" w:rsidRPr="00914BE8" w:rsidRDefault="00141B6B" w:rsidP="00141B6B">
      <w:pPr>
        <w:spacing w:after="240"/>
        <w:rPr>
          <w:rFonts w:eastAsia="Calibri" w:cs="Times New Roman"/>
          <w:sz w:val="22"/>
        </w:rPr>
      </w:pPr>
      <w:r w:rsidRPr="00914BE8">
        <w:rPr>
          <w:sz w:val="22"/>
          <w:szCs w:val="18"/>
        </w:rPr>
        <w:t>Centre d</w:t>
      </w:r>
      <w:r w:rsidR="003B5177" w:rsidRPr="00914BE8">
        <w:rPr>
          <w:sz w:val="22"/>
          <w:szCs w:val="18"/>
        </w:rPr>
        <w:t>’</w:t>
      </w:r>
      <w:r w:rsidRPr="00914BE8">
        <w:rPr>
          <w:sz w:val="22"/>
          <w:szCs w:val="18"/>
        </w:rPr>
        <w:t xml:space="preserve">action pour la sécurité du revenu. (2023). </w:t>
      </w:r>
      <w:hyperlink r:id="rId48" w:history="1">
        <w:r w:rsidRPr="00914BE8">
          <w:rPr>
            <w:rStyle w:val="Hyperlink"/>
            <w:i/>
            <w:iCs/>
            <w:sz w:val="22"/>
          </w:rPr>
          <w:t>Taux actuels des prestations d</w:t>
        </w:r>
        <w:r w:rsidR="003B5177" w:rsidRPr="00914BE8">
          <w:rPr>
            <w:rStyle w:val="Hyperlink"/>
            <w:i/>
            <w:iCs/>
            <w:sz w:val="22"/>
          </w:rPr>
          <w:t>’</w:t>
        </w:r>
        <w:r w:rsidRPr="00914BE8">
          <w:rPr>
            <w:rStyle w:val="Hyperlink"/>
            <w:i/>
            <w:iCs/>
            <w:sz w:val="22"/>
          </w:rPr>
          <w:t>Ontario au travail et du Programme ontarien de soutien aux personnes handicapées, et de la Prestation ontarienne pour enfants</w:t>
        </w:r>
      </w:hyperlink>
      <w:r w:rsidRPr="00914BE8">
        <w:rPr>
          <w:i/>
          <w:iCs/>
          <w:sz w:val="22"/>
        </w:rPr>
        <w:t xml:space="preserve">. </w:t>
      </w:r>
    </w:p>
    <w:p w14:paraId="45FE997A" w14:textId="2553CFFD" w:rsidR="00141B6B" w:rsidRPr="00914BE8" w:rsidRDefault="00141B6B" w:rsidP="00141B6B">
      <w:pPr>
        <w:spacing w:after="240"/>
        <w:rPr>
          <w:rFonts w:eastAsia="Calibri" w:cs="Times New Roman"/>
          <w:sz w:val="22"/>
          <w:lang w:val="en-CA"/>
        </w:rPr>
      </w:pPr>
      <w:r w:rsidRPr="00914BE8">
        <w:rPr>
          <w:sz w:val="22"/>
          <w:szCs w:val="18"/>
        </w:rPr>
        <w:t xml:space="preserve">Jayaratne, K. S. U. (2013, avril). </w:t>
      </w:r>
      <w:hyperlink r:id="rId49" w:history="1">
        <w:r w:rsidR="00123727">
          <w:rPr>
            <w:rStyle w:val="Hyperlink"/>
            <w:i/>
            <w:iCs/>
            <w:sz w:val="22"/>
            <w:lang w:val="en-CA"/>
          </w:rPr>
          <w:t>Learn how to analyze cost-benefits of extension programming (en anglais seulement)</w:t>
        </w:r>
      </w:hyperlink>
      <w:r w:rsidRPr="00914BE8">
        <w:rPr>
          <w:sz w:val="22"/>
          <w:szCs w:val="18"/>
          <w:lang w:val="en-CA"/>
        </w:rPr>
        <w:t xml:space="preserve">. North Carolina State University and A&amp;T State University Cooperative Extension. </w:t>
      </w:r>
    </w:p>
    <w:p w14:paraId="5352BA75" w14:textId="03D9550C" w:rsidR="00141B6B" w:rsidRPr="00914BE8" w:rsidRDefault="00141B6B" w:rsidP="00141B6B">
      <w:pPr>
        <w:spacing w:after="240"/>
        <w:rPr>
          <w:rFonts w:eastAsia="Calibri" w:cs="Times New Roman"/>
          <w:sz w:val="22"/>
          <w:lang w:val="en-CA"/>
        </w:rPr>
      </w:pPr>
      <w:r w:rsidRPr="00914BE8">
        <w:rPr>
          <w:sz w:val="22"/>
          <w:szCs w:val="18"/>
        </w:rPr>
        <w:t xml:space="preserve">Jones, N. J., Brown, S. L., Robinson, D. et Frey, D. (2016). </w:t>
      </w:r>
      <w:hyperlink r:id="rId50" w:history="1">
        <w:r w:rsidR="00123727">
          <w:rPr>
            <w:rStyle w:val="Hyperlink"/>
            <w:sz w:val="22"/>
            <w:szCs w:val="18"/>
            <w:lang w:val="en-CA"/>
          </w:rPr>
          <w:t>Validity of the youth assessment and screening instrument: A juvenile justice tool incorporating risks, needs, and strengths (en anglais seulement)</w:t>
        </w:r>
      </w:hyperlink>
      <w:r w:rsidRPr="00914BE8">
        <w:rPr>
          <w:sz w:val="22"/>
          <w:szCs w:val="18"/>
          <w:lang w:val="en-CA"/>
        </w:rPr>
        <w:t>.</w:t>
      </w:r>
      <w:r w:rsidR="00123727">
        <w:rPr>
          <w:sz w:val="22"/>
          <w:szCs w:val="18"/>
          <w:lang w:val="en-CA"/>
        </w:rPr>
        <w:t xml:space="preserve"> </w:t>
      </w:r>
      <w:r w:rsidRPr="00914BE8">
        <w:rPr>
          <w:i/>
          <w:iCs/>
          <w:sz w:val="22"/>
          <w:lang w:val="en-CA"/>
        </w:rPr>
        <w:t>Law and Human Behavior, 40</w:t>
      </w:r>
      <w:r w:rsidRPr="00914BE8">
        <w:rPr>
          <w:sz w:val="22"/>
          <w:szCs w:val="18"/>
          <w:lang w:val="en-CA"/>
        </w:rPr>
        <w:t xml:space="preserve">(2), 182-194. </w:t>
      </w:r>
    </w:p>
    <w:p w14:paraId="27C7EBE1" w14:textId="51EB9FB1" w:rsidR="00141B6B" w:rsidRPr="00914BE8" w:rsidRDefault="00141B6B" w:rsidP="00141B6B">
      <w:pPr>
        <w:spacing w:after="240"/>
        <w:rPr>
          <w:rFonts w:eastAsia="Calibri" w:cs="Times New Roman"/>
          <w:sz w:val="22"/>
          <w:lang w:val="en-CA"/>
        </w:rPr>
      </w:pPr>
      <w:r w:rsidRPr="00914BE8">
        <w:rPr>
          <w:sz w:val="22"/>
          <w:szCs w:val="18"/>
          <w:lang w:val="en-CA"/>
        </w:rPr>
        <w:t xml:space="preserve">Law for Families. (2018). </w:t>
      </w:r>
      <w:hyperlink r:id="rId51" w:history="1">
        <w:r w:rsidR="00123727">
          <w:rPr>
            <w:rStyle w:val="Hyperlink"/>
            <w:i/>
            <w:iCs/>
            <w:sz w:val="22"/>
            <w:lang w:val="en-CA"/>
          </w:rPr>
          <w:t>The average cost of child custody (en anglais seulement)</w:t>
        </w:r>
      </w:hyperlink>
      <w:r w:rsidRPr="00914BE8">
        <w:rPr>
          <w:i/>
          <w:iCs/>
          <w:sz w:val="22"/>
          <w:lang w:val="en-CA"/>
        </w:rPr>
        <w:t xml:space="preserve">. </w:t>
      </w:r>
    </w:p>
    <w:p w14:paraId="3BB0D441" w14:textId="0ECC2479" w:rsidR="00141B6B" w:rsidRPr="002E17C3" w:rsidRDefault="00141B6B" w:rsidP="00141B6B">
      <w:pPr>
        <w:spacing w:after="240"/>
        <w:rPr>
          <w:rFonts w:eastAsia="Calibri" w:cs="Times New Roman"/>
          <w:sz w:val="22"/>
          <w:lang w:val="fr-FR"/>
        </w:rPr>
      </w:pPr>
      <w:r w:rsidRPr="00914BE8">
        <w:rPr>
          <w:sz w:val="22"/>
          <w:szCs w:val="18"/>
          <w:lang w:val="en-CA"/>
        </w:rPr>
        <w:t xml:space="preserve">Lemieux Litigation. (2021). </w:t>
      </w:r>
      <w:hyperlink r:id="rId52" w:history="1">
        <w:r w:rsidR="00123727">
          <w:rPr>
            <w:rStyle w:val="Hyperlink"/>
            <w:i/>
            <w:iCs/>
            <w:sz w:val="22"/>
            <w:lang w:val="en-CA"/>
          </w:rPr>
          <w:t xml:space="preserve">How much does a family lawyer cost? </w:t>
        </w:r>
        <w:r w:rsidR="00123727" w:rsidRPr="00BC1B61">
          <w:rPr>
            <w:rStyle w:val="Hyperlink"/>
            <w:i/>
            <w:iCs/>
            <w:sz w:val="22"/>
            <w:lang w:val="fr-FR"/>
          </w:rPr>
          <w:t>(en anglais seulement)</w:t>
        </w:r>
      </w:hyperlink>
      <w:r w:rsidRPr="00BC1B61">
        <w:rPr>
          <w:i/>
          <w:iCs/>
          <w:sz w:val="22"/>
          <w:lang w:val="fr-FR"/>
        </w:rPr>
        <w:t xml:space="preserve"> </w:t>
      </w:r>
    </w:p>
    <w:p w14:paraId="09CBA054" w14:textId="0B4B397B" w:rsidR="00141B6B" w:rsidRPr="00914BE8" w:rsidRDefault="00141B6B" w:rsidP="00141B6B">
      <w:pPr>
        <w:spacing w:after="240"/>
        <w:rPr>
          <w:rFonts w:eastAsia="Calibri" w:cs="Times New Roman"/>
          <w:sz w:val="22"/>
        </w:rPr>
      </w:pPr>
      <w:r w:rsidRPr="00914BE8">
        <w:rPr>
          <w:sz w:val="22"/>
          <w:szCs w:val="18"/>
        </w:rPr>
        <w:t xml:space="preserve">Li, Ting. (2023). </w:t>
      </w:r>
      <w:hyperlink r:id="rId53" w:history="1">
        <w:r w:rsidRPr="00914BE8">
          <w:rPr>
            <w:rStyle w:val="Hyperlink"/>
            <w:i/>
            <w:iCs/>
            <w:sz w:val="22"/>
          </w:rPr>
          <w:t>Coûts de la criminalité au Canada, 2014</w:t>
        </w:r>
      </w:hyperlink>
      <w:r w:rsidRPr="00914BE8">
        <w:rPr>
          <w:sz w:val="22"/>
          <w:szCs w:val="18"/>
        </w:rPr>
        <w:t>. Ministère de la Justice du Canada</w:t>
      </w:r>
      <w:r w:rsidR="0015661E" w:rsidRPr="00914BE8">
        <w:rPr>
          <w:sz w:val="22"/>
          <w:szCs w:val="18"/>
        </w:rPr>
        <w:t xml:space="preserve">. </w:t>
      </w:r>
    </w:p>
    <w:p w14:paraId="63D25A68" w14:textId="184B2561" w:rsidR="00141B6B" w:rsidRPr="00914BE8" w:rsidRDefault="00141B6B" w:rsidP="00141B6B">
      <w:pPr>
        <w:spacing w:after="240"/>
        <w:rPr>
          <w:rFonts w:eastAsia="Calibri" w:cs="Times New Roman"/>
          <w:sz w:val="22"/>
        </w:rPr>
      </w:pPr>
      <w:r w:rsidRPr="00914BE8">
        <w:rPr>
          <w:sz w:val="22"/>
          <w:szCs w:val="18"/>
        </w:rPr>
        <w:t xml:space="preserve">McIntosh, C. et Li, J. (2012). </w:t>
      </w:r>
      <w:hyperlink r:id="rId54" w:history="1">
        <w:r w:rsidRPr="00914BE8">
          <w:rPr>
            <w:rStyle w:val="Hyperlink"/>
            <w:i/>
            <w:iCs/>
            <w:sz w:val="22"/>
          </w:rPr>
          <w:t>Introduction à l</w:t>
        </w:r>
        <w:r w:rsidR="003B5177" w:rsidRPr="00914BE8">
          <w:rPr>
            <w:rStyle w:val="Hyperlink"/>
            <w:i/>
            <w:iCs/>
            <w:sz w:val="22"/>
          </w:rPr>
          <w:t>’</w:t>
        </w:r>
        <w:r w:rsidRPr="00914BE8">
          <w:rPr>
            <w:rStyle w:val="Hyperlink"/>
            <w:i/>
            <w:iCs/>
            <w:sz w:val="22"/>
          </w:rPr>
          <w:t>analyse économique de la prévention du crime : le pourquoi, le comment et les voies d</w:t>
        </w:r>
        <w:r w:rsidR="003B5177" w:rsidRPr="00914BE8">
          <w:rPr>
            <w:rStyle w:val="Hyperlink"/>
            <w:i/>
            <w:iCs/>
            <w:sz w:val="22"/>
          </w:rPr>
          <w:t>’</w:t>
        </w:r>
        <w:r w:rsidRPr="00914BE8">
          <w:rPr>
            <w:rStyle w:val="Hyperlink"/>
            <w:i/>
            <w:iCs/>
            <w:sz w:val="22"/>
          </w:rPr>
          <w:t>avenir</w:t>
        </w:r>
      </w:hyperlink>
      <w:r w:rsidRPr="00914BE8">
        <w:rPr>
          <w:i/>
          <w:iCs/>
          <w:sz w:val="22"/>
        </w:rPr>
        <w:t xml:space="preserve">. </w:t>
      </w:r>
      <w:r w:rsidRPr="00914BE8">
        <w:rPr>
          <w:sz w:val="22"/>
          <w:szCs w:val="18"/>
        </w:rPr>
        <w:t xml:space="preserve">Sécurité publique Canada. </w:t>
      </w:r>
    </w:p>
    <w:p w14:paraId="17E321D9" w14:textId="298ABD08" w:rsidR="00141B6B" w:rsidRPr="00914BE8" w:rsidRDefault="00141B6B" w:rsidP="00141B6B">
      <w:pPr>
        <w:spacing w:after="240"/>
        <w:rPr>
          <w:rFonts w:eastAsia="Calibri" w:cs="Times New Roman"/>
          <w:sz w:val="22"/>
        </w:rPr>
      </w:pPr>
      <w:r w:rsidRPr="00914BE8">
        <w:rPr>
          <w:sz w:val="22"/>
          <w:szCs w:val="18"/>
        </w:rPr>
        <w:t xml:space="preserve">Bureau du directeur parlementaire du budget. (2018). </w:t>
      </w:r>
      <w:hyperlink r:id="rId55" w:history="1">
        <w:r w:rsidRPr="00914BE8">
          <w:rPr>
            <w:rStyle w:val="Hyperlink"/>
            <w:i/>
            <w:iCs/>
            <w:sz w:val="22"/>
          </w:rPr>
          <w:t>Mise à jour sur les coûts d</w:t>
        </w:r>
        <w:r w:rsidR="003B5177" w:rsidRPr="00914BE8">
          <w:rPr>
            <w:rStyle w:val="Hyperlink"/>
            <w:i/>
            <w:iCs/>
            <w:sz w:val="22"/>
          </w:rPr>
          <w:t>’</w:t>
        </w:r>
        <w:r w:rsidRPr="00914BE8">
          <w:rPr>
            <w:rStyle w:val="Hyperlink"/>
            <w:i/>
            <w:iCs/>
            <w:sz w:val="22"/>
          </w:rPr>
          <w:t>incarcération</w:t>
        </w:r>
      </w:hyperlink>
      <w:r w:rsidRPr="00914BE8">
        <w:rPr>
          <w:sz w:val="22"/>
          <w:szCs w:val="18"/>
        </w:rPr>
        <w:t xml:space="preserve">. </w:t>
      </w:r>
    </w:p>
    <w:p w14:paraId="7F96420B" w14:textId="25EE8B16" w:rsidR="00141B6B" w:rsidRPr="00914BE8" w:rsidRDefault="00141B6B" w:rsidP="00141B6B">
      <w:pPr>
        <w:spacing w:after="240"/>
        <w:rPr>
          <w:rFonts w:eastAsia="Calibri" w:cs="Times New Roman"/>
          <w:sz w:val="22"/>
        </w:rPr>
      </w:pPr>
      <w:r w:rsidRPr="00914BE8">
        <w:rPr>
          <w:sz w:val="22"/>
          <w:szCs w:val="18"/>
        </w:rPr>
        <w:t>Police provinciale de l</w:t>
      </w:r>
      <w:r w:rsidR="003B5177" w:rsidRPr="00914BE8">
        <w:rPr>
          <w:sz w:val="22"/>
          <w:szCs w:val="18"/>
        </w:rPr>
        <w:t>’</w:t>
      </w:r>
      <w:r w:rsidRPr="00914BE8">
        <w:rPr>
          <w:sz w:val="22"/>
          <w:szCs w:val="18"/>
        </w:rPr>
        <w:t>Ontario. (202</w:t>
      </w:r>
      <w:r w:rsidR="00D2687C" w:rsidRPr="00914BE8">
        <w:rPr>
          <w:sz w:val="22"/>
          <w:szCs w:val="18"/>
        </w:rPr>
        <w:t>4</w:t>
      </w:r>
      <w:r w:rsidRPr="00914BE8">
        <w:rPr>
          <w:sz w:val="22"/>
          <w:szCs w:val="18"/>
        </w:rPr>
        <w:t>).</w:t>
      </w:r>
      <w:r w:rsidRPr="00914BE8">
        <w:rPr>
          <w:i/>
          <w:iCs/>
          <w:sz w:val="22"/>
        </w:rPr>
        <w:t xml:space="preserve"> </w:t>
      </w:r>
      <w:r w:rsidRPr="00914BE8">
        <w:rPr>
          <w:rStyle w:val="Hyperlink"/>
          <w:i/>
          <w:iCs/>
          <w:sz w:val="22"/>
        </w:rPr>
        <w:t>Coût par municipalité 2015-202</w:t>
      </w:r>
      <w:r w:rsidR="00D2687C" w:rsidRPr="00914BE8">
        <w:rPr>
          <w:rStyle w:val="Hyperlink"/>
          <w:i/>
          <w:iCs/>
          <w:sz w:val="22"/>
        </w:rPr>
        <w:t>4</w:t>
      </w:r>
      <w:r w:rsidRPr="00914BE8">
        <w:rPr>
          <w:i/>
          <w:iCs/>
          <w:sz w:val="22"/>
        </w:rPr>
        <w:t xml:space="preserve">. </w:t>
      </w:r>
    </w:p>
    <w:p w14:paraId="42709363" w14:textId="78A2F685" w:rsidR="00141B6B" w:rsidRPr="00914BE8" w:rsidRDefault="00141B6B" w:rsidP="00141B6B">
      <w:pPr>
        <w:spacing w:after="240"/>
        <w:rPr>
          <w:rFonts w:eastAsia="Calibri" w:cs="Times New Roman"/>
          <w:sz w:val="22"/>
        </w:rPr>
      </w:pPr>
      <w:r w:rsidRPr="00914BE8">
        <w:rPr>
          <w:sz w:val="22"/>
          <w:szCs w:val="18"/>
        </w:rPr>
        <w:t>Service de police d</w:t>
      </w:r>
      <w:r w:rsidR="003B5177" w:rsidRPr="00914BE8">
        <w:rPr>
          <w:sz w:val="22"/>
          <w:szCs w:val="18"/>
        </w:rPr>
        <w:t>’</w:t>
      </w:r>
      <w:r w:rsidRPr="00914BE8">
        <w:rPr>
          <w:sz w:val="22"/>
          <w:szCs w:val="18"/>
        </w:rPr>
        <w:t xml:space="preserve">Ottawa. (2025). </w:t>
      </w:r>
      <w:hyperlink r:id="rId56" w:anchor="Information" w:history="1">
        <w:r w:rsidRPr="00914BE8">
          <w:rPr>
            <w:rStyle w:val="Hyperlink"/>
            <w:i/>
            <w:iCs/>
            <w:sz w:val="22"/>
          </w:rPr>
          <w:t>Services rémunérés et Événements</w:t>
        </w:r>
      </w:hyperlink>
      <w:r w:rsidRPr="00914BE8">
        <w:rPr>
          <w:i/>
          <w:iCs/>
          <w:sz w:val="22"/>
        </w:rPr>
        <w:t>.</w:t>
      </w:r>
      <w:r w:rsidRPr="00914BE8">
        <w:rPr>
          <w:sz w:val="22"/>
          <w:szCs w:val="18"/>
        </w:rPr>
        <w:t xml:space="preserve"> </w:t>
      </w:r>
    </w:p>
    <w:p w14:paraId="73D30C50" w14:textId="242143F6" w:rsidR="00141B6B" w:rsidRPr="00BC1B61" w:rsidRDefault="00141B6B" w:rsidP="00141B6B">
      <w:pPr>
        <w:spacing w:after="240"/>
        <w:rPr>
          <w:rFonts w:eastAsia="Calibri" w:cs="Times New Roman"/>
          <w:sz w:val="22"/>
          <w:lang w:val="en-US"/>
        </w:rPr>
      </w:pPr>
      <w:r w:rsidRPr="00914BE8">
        <w:rPr>
          <w:sz w:val="22"/>
          <w:szCs w:val="18"/>
          <w:lang w:val="en-CA"/>
        </w:rPr>
        <w:t xml:space="preserve">Polaschek, D. L. L. (2012). </w:t>
      </w:r>
      <w:hyperlink r:id="rId57" w:history="1">
        <w:r w:rsidRPr="003C72E2">
          <w:rPr>
            <w:rStyle w:val="Hyperlink"/>
            <w:sz w:val="22"/>
            <w:szCs w:val="18"/>
            <w:lang w:val="en-CA"/>
          </w:rPr>
          <w:t>An appraisal of the risk-need-responsivity (RNR) model of offender rehabilitation and its application in correctional treatment</w:t>
        </w:r>
        <w:r w:rsidR="00123727" w:rsidRPr="003C72E2">
          <w:rPr>
            <w:rStyle w:val="Hyperlink"/>
            <w:sz w:val="22"/>
            <w:szCs w:val="18"/>
            <w:lang w:val="en-CA"/>
          </w:rPr>
          <w:t xml:space="preserve"> (en anglais seulement)</w:t>
        </w:r>
      </w:hyperlink>
      <w:r w:rsidRPr="00914BE8">
        <w:rPr>
          <w:sz w:val="22"/>
          <w:szCs w:val="18"/>
          <w:lang w:val="en-CA"/>
        </w:rPr>
        <w:t>.</w:t>
      </w:r>
      <w:r w:rsidR="000555B0">
        <w:rPr>
          <w:sz w:val="22"/>
          <w:szCs w:val="18"/>
          <w:lang w:val="en-CA"/>
        </w:rPr>
        <w:t xml:space="preserve"> </w:t>
      </w:r>
      <w:r w:rsidRPr="00BC1B61">
        <w:rPr>
          <w:i/>
          <w:iCs/>
          <w:sz w:val="22"/>
          <w:lang w:val="en-US"/>
        </w:rPr>
        <w:t>Legal and Criminological Psychology, 17</w:t>
      </w:r>
      <w:r w:rsidRPr="00BC1B61">
        <w:rPr>
          <w:sz w:val="22"/>
          <w:szCs w:val="18"/>
          <w:lang w:val="en-US"/>
        </w:rPr>
        <w:t xml:space="preserve">(1), 1-17. </w:t>
      </w:r>
    </w:p>
    <w:p w14:paraId="028C409E" w14:textId="63A2A1A3" w:rsidR="00141B6B" w:rsidRPr="002E17C3" w:rsidRDefault="00141B6B" w:rsidP="00141B6B">
      <w:pPr>
        <w:rPr>
          <w:sz w:val="22"/>
          <w:szCs w:val="18"/>
          <w:lang w:val="fr-FR"/>
        </w:rPr>
      </w:pPr>
      <w:r w:rsidRPr="00BC1B61">
        <w:rPr>
          <w:sz w:val="22"/>
          <w:szCs w:val="18"/>
          <w:lang w:val="fr-FR"/>
        </w:rPr>
        <w:t xml:space="preserve">Sécurité publique Canada. (2003). </w:t>
      </w:r>
      <w:hyperlink r:id="rId58" w:history="1">
        <w:r w:rsidR="00123727" w:rsidRPr="00BC1B61">
          <w:rPr>
            <w:rStyle w:val="Hyperlink"/>
            <w:i/>
            <w:iCs/>
            <w:sz w:val="22"/>
            <w:szCs w:val="18"/>
            <w:lang w:val="fr-FR"/>
          </w:rPr>
          <w:t>Approaches to understanding crime prevention (en anglais seulement)</w:t>
        </w:r>
      </w:hyperlink>
      <w:r w:rsidRPr="00BC1B61">
        <w:rPr>
          <w:i/>
          <w:iCs/>
          <w:sz w:val="22"/>
          <w:szCs w:val="18"/>
          <w:lang w:val="fr-FR"/>
        </w:rPr>
        <w:t xml:space="preserve">. </w:t>
      </w:r>
    </w:p>
    <w:p w14:paraId="5997A212" w14:textId="77777777" w:rsidR="00141B6B" w:rsidRPr="00914BE8" w:rsidRDefault="00141B6B" w:rsidP="00141B6B">
      <w:pPr>
        <w:rPr>
          <w:sz w:val="22"/>
          <w:szCs w:val="18"/>
        </w:rPr>
      </w:pPr>
      <w:r w:rsidRPr="00914BE8">
        <w:rPr>
          <w:sz w:val="22"/>
          <w:szCs w:val="18"/>
        </w:rPr>
        <w:t xml:space="preserve">Sécurité publique Canada. (2015). </w:t>
      </w:r>
      <w:hyperlink r:id="rId59" w:history="1">
        <w:r w:rsidRPr="00914BE8">
          <w:rPr>
            <w:rStyle w:val="Hyperlink"/>
            <w:i/>
            <w:iCs/>
            <w:sz w:val="22"/>
            <w:szCs w:val="18"/>
          </w:rPr>
          <w:t>Facteurs de risque et de protection</w:t>
        </w:r>
      </w:hyperlink>
      <w:r w:rsidRPr="00914BE8">
        <w:rPr>
          <w:sz w:val="22"/>
          <w:szCs w:val="18"/>
        </w:rPr>
        <w:t xml:space="preserve">. </w:t>
      </w:r>
    </w:p>
    <w:p w14:paraId="293180FB" w14:textId="59841E0D" w:rsidR="00141B6B" w:rsidRPr="002E17C3" w:rsidRDefault="00141B6B" w:rsidP="00141B6B">
      <w:pPr>
        <w:rPr>
          <w:sz w:val="22"/>
          <w:szCs w:val="18"/>
          <w:lang w:val="fr-FR"/>
        </w:rPr>
      </w:pPr>
      <w:r w:rsidRPr="00BC1B61">
        <w:rPr>
          <w:sz w:val="22"/>
          <w:szCs w:val="18"/>
          <w:lang w:val="fr-FR"/>
        </w:rPr>
        <w:t xml:space="preserve">Queensway Carleton Hospital. (2021). </w:t>
      </w:r>
      <w:hyperlink r:id="rId60" w:history="1">
        <w:r w:rsidR="00123727" w:rsidRPr="00BC1B61">
          <w:rPr>
            <w:rStyle w:val="Hyperlink"/>
            <w:i/>
            <w:iCs/>
            <w:sz w:val="22"/>
            <w:szCs w:val="18"/>
            <w:lang w:val="fr-FR"/>
          </w:rPr>
          <w:t>Uninsured and non-resident fees (en anglais seulement)</w:t>
        </w:r>
      </w:hyperlink>
      <w:r w:rsidRPr="00BC1B61">
        <w:rPr>
          <w:sz w:val="22"/>
          <w:szCs w:val="18"/>
          <w:lang w:val="fr-FR"/>
        </w:rPr>
        <w:t>.</w:t>
      </w:r>
    </w:p>
    <w:p w14:paraId="6B2DF200" w14:textId="6B4158F5" w:rsidR="00141B6B" w:rsidRPr="00914BE8" w:rsidRDefault="00141B6B" w:rsidP="00141B6B">
      <w:pPr>
        <w:rPr>
          <w:sz w:val="22"/>
          <w:szCs w:val="18"/>
        </w:rPr>
      </w:pPr>
      <w:r w:rsidRPr="00914BE8">
        <w:rPr>
          <w:sz w:val="22"/>
          <w:szCs w:val="18"/>
        </w:rPr>
        <w:t xml:space="preserve">Statistique Canada. (2024). </w:t>
      </w:r>
      <w:hyperlink r:id="rId61" w:history="1">
        <w:r w:rsidRPr="00914BE8">
          <w:rPr>
            <w:rStyle w:val="Hyperlink"/>
            <w:i/>
            <w:iCs/>
            <w:sz w:val="22"/>
            <w:szCs w:val="18"/>
          </w:rPr>
          <w:t>Tableau 35-10-0013-01 : Dépenses d</w:t>
        </w:r>
        <w:r w:rsidR="003B5177" w:rsidRPr="00914BE8">
          <w:rPr>
            <w:rStyle w:val="Hyperlink"/>
            <w:i/>
            <w:iCs/>
            <w:sz w:val="22"/>
            <w:szCs w:val="18"/>
          </w:rPr>
          <w:t>’</w:t>
        </w:r>
        <w:r w:rsidRPr="00914BE8">
          <w:rPr>
            <w:rStyle w:val="Hyperlink"/>
            <w:i/>
            <w:iCs/>
            <w:sz w:val="22"/>
            <w:szCs w:val="18"/>
          </w:rPr>
          <w:t>exploitation pour les services correctionnels des adultes</w:t>
        </w:r>
      </w:hyperlink>
      <w:r w:rsidRPr="00914BE8">
        <w:rPr>
          <w:i/>
          <w:iCs/>
          <w:sz w:val="22"/>
          <w:szCs w:val="18"/>
        </w:rPr>
        <w:t xml:space="preserve">. </w:t>
      </w:r>
    </w:p>
    <w:p w14:paraId="5CA9DB84" w14:textId="6D0ED680" w:rsidR="00141B6B" w:rsidRPr="00BC1B61" w:rsidRDefault="00141B6B" w:rsidP="00141B6B">
      <w:pPr>
        <w:rPr>
          <w:sz w:val="22"/>
          <w:szCs w:val="18"/>
          <w:lang w:val="en-US"/>
        </w:rPr>
      </w:pPr>
      <w:r w:rsidRPr="00914BE8">
        <w:rPr>
          <w:sz w:val="22"/>
          <w:szCs w:val="18"/>
          <w:lang w:val="en-CA"/>
        </w:rPr>
        <w:t xml:space="preserve">Stobierki, T. (2019, 5 septembre). </w:t>
      </w:r>
      <w:hyperlink r:id="rId62" w:history="1">
        <w:r w:rsidR="00123727">
          <w:rPr>
            <w:rStyle w:val="Hyperlink"/>
            <w:i/>
            <w:iCs/>
            <w:sz w:val="22"/>
            <w:szCs w:val="18"/>
            <w:lang w:val="en-CA"/>
          </w:rPr>
          <w:t>What is a cost-benefit analysis and how to do it (en anglais seulement)</w:t>
        </w:r>
      </w:hyperlink>
      <w:r w:rsidRPr="00914BE8">
        <w:rPr>
          <w:sz w:val="22"/>
          <w:szCs w:val="18"/>
          <w:lang w:val="en-CA"/>
        </w:rPr>
        <w:t>.</w:t>
      </w:r>
      <w:r w:rsidR="000555B0" w:rsidRPr="002E17C3">
        <w:rPr>
          <w:sz w:val="22"/>
          <w:szCs w:val="18"/>
          <w:lang w:val="en-US"/>
        </w:rPr>
        <w:t xml:space="preserve"> </w:t>
      </w:r>
      <w:r w:rsidRPr="00BC1B61">
        <w:rPr>
          <w:sz w:val="22"/>
          <w:szCs w:val="18"/>
          <w:lang w:val="en-US"/>
        </w:rPr>
        <w:t xml:space="preserve">Harvard Business School Online. </w:t>
      </w:r>
    </w:p>
    <w:p w14:paraId="7B5737FB" w14:textId="42D5BF9F" w:rsidR="00141B6B" w:rsidRPr="00BC1B61" w:rsidRDefault="00141B6B" w:rsidP="00141B6B">
      <w:pPr>
        <w:rPr>
          <w:sz w:val="22"/>
          <w:szCs w:val="18"/>
          <w:lang w:val="en-US"/>
        </w:rPr>
      </w:pPr>
      <w:r w:rsidRPr="00BC1B61">
        <w:rPr>
          <w:sz w:val="22"/>
          <w:szCs w:val="18"/>
          <w:lang w:val="en-US"/>
        </w:rPr>
        <w:t>La Presse canadienne. (2023, 29 mars).</w:t>
      </w:r>
      <w:r w:rsidRPr="00BC1B61">
        <w:rPr>
          <w:i/>
          <w:iCs/>
          <w:sz w:val="22"/>
          <w:szCs w:val="18"/>
          <w:lang w:val="en-US"/>
        </w:rPr>
        <w:t xml:space="preserve"> </w:t>
      </w:r>
      <w:r w:rsidRPr="00914BE8">
        <w:rPr>
          <w:rStyle w:val="Hyperlink"/>
          <w:i/>
          <w:iCs/>
          <w:sz w:val="22"/>
          <w:szCs w:val="18"/>
          <w:lang w:val="en-CA"/>
        </w:rPr>
        <w:t>B.C. increases monthly payments to foster care families</w:t>
      </w:r>
      <w:r w:rsidR="00123727">
        <w:rPr>
          <w:rStyle w:val="Hyperlink"/>
          <w:i/>
          <w:iCs/>
          <w:sz w:val="22"/>
          <w:szCs w:val="18"/>
          <w:lang w:val="en-CA"/>
        </w:rPr>
        <w:t xml:space="preserve"> (</w:t>
      </w:r>
      <w:r w:rsidR="00123727" w:rsidRPr="002E17C3">
        <w:rPr>
          <w:sz w:val="22"/>
          <w:szCs w:val="18"/>
          <w:lang w:val="en-CA"/>
        </w:rPr>
        <w:t>en anglais seulement</w:t>
      </w:r>
      <w:r w:rsidR="00123727">
        <w:rPr>
          <w:sz w:val="22"/>
          <w:szCs w:val="18"/>
          <w:lang w:val="en-CA"/>
        </w:rPr>
        <w:t>)</w:t>
      </w:r>
      <w:r w:rsidRPr="00914BE8">
        <w:rPr>
          <w:sz w:val="22"/>
          <w:szCs w:val="18"/>
          <w:lang w:val="en-CA"/>
        </w:rPr>
        <w:t xml:space="preserve">. </w:t>
      </w:r>
    </w:p>
    <w:p w14:paraId="54F49AC5" w14:textId="29D8DE87" w:rsidR="00141B6B" w:rsidRPr="00BC1B61" w:rsidRDefault="00141B6B" w:rsidP="00141B6B">
      <w:pPr>
        <w:spacing w:after="160" w:line="259" w:lineRule="auto"/>
        <w:rPr>
          <w:sz w:val="22"/>
          <w:szCs w:val="18"/>
          <w:lang w:val="en-US"/>
        </w:rPr>
      </w:pPr>
      <w:r w:rsidRPr="00914BE8">
        <w:rPr>
          <w:sz w:val="22"/>
          <w:szCs w:val="18"/>
        </w:rPr>
        <w:t>La Société de l</w:t>
      </w:r>
      <w:r w:rsidR="003B5177" w:rsidRPr="00914BE8">
        <w:rPr>
          <w:sz w:val="22"/>
          <w:szCs w:val="18"/>
        </w:rPr>
        <w:t>’</w:t>
      </w:r>
      <w:r w:rsidRPr="00914BE8">
        <w:rPr>
          <w:sz w:val="22"/>
          <w:szCs w:val="18"/>
        </w:rPr>
        <w:t>aide à l</w:t>
      </w:r>
      <w:r w:rsidR="003B5177" w:rsidRPr="00914BE8">
        <w:rPr>
          <w:sz w:val="22"/>
          <w:szCs w:val="18"/>
        </w:rPr>
        <w:t>’</w:t>
      </w:r>
      <w:r w:rsidRPr="00914BE8">
        <w:rPr>
          <w:sz w:val="22"/>
          <w:szCs w:val="18"/>
        </w:rPr>
        <w:t>enfance d</w:t>
      </w:r>
      <w:r w:rsidR="003B5177" w:rsidRPr="00914BE8">
        <w:rPr>
          <w:sz w:val="22"/>
          <w:szCs w:val="18"/>
        </w:rPr>
        <w:t>’</w:t>
      </w:r>
      <w:r w:rsidRPr="00914BE8">
        <w:rPr>
          <w:sz w:val="22"/>
          <w:szCs w:val="18"/>
        </w:rPr>
        <w:t xml:space="preserve">Ottawa. </w:t>
      </w:r>
      <w:r w:rsidRPr="00914BE8">
        <w:rPr>
          <w:sz w:val="22"/>
          <w:szCs w:val="18"/>
          <w:lang w:val="en-CA"/>
        </w:rPr>
        <w:t xml:space="preserve">(2024). </w:t>
      </w:r>
      <w:hyperlink r:id="rId63" w:history="1">
        <w:r w:rsidRPr="00914BE8">
          <w:rPr>
            <w:rStyle w:val="Hyperlink"/>
            <w:i/>
            <w:iCs/>
            <w:sz w:val="22"/>
            <w:szCs w:val="18"/>
            <w:lang w:val="en-CA"/>
          </w:rPr>
          <w:t>Rapport annuel 2023-2024</w:t>
        </w:r>
      </w:hyperlink>
      <w:r w:rsidRPr="00914BE8">
        <w:rPr>
          <w:sz w:val="22"/>
          <w:szCs w:val="18"/>
          <w:lang w:val="en-CA"/>
        </w:rPr>
        <w:t xml:space="preserve">. West Coast ADR Law Group. </w:t>
      </w:r>
      <w:r w:rsidRPr="00BC1B61">
        <w:rPr>
          <w:sz w:val="22"/>
          <w:szCs w:val="18"/>
          <w:lang w:val="en-US"/>
        </w:rPr>
        <w:t xml:space="preserve">(2024). </w:t>
      </w:r>
      <w:hyperlink r:id="rId64" w:history="1">
        <w:r w:rsidR="00123727" w:rsidRPr="00BC1B61">
          <w:rPr>
            <w:rStyle w:val="Hyperlink"/>
            <w:i/>
            <w:iCs/>
            <w:sz w:val="22"/>
            <w:szCs w:val="18"/>
            <w:lang w:val="en-US"/>
          </w:rPr>
          <w:t>Comparison of costs (en anglais seulement)</w:t>
        </w:r>
      </w:hyperlink>
      <w:r w:rsidRPr="00BC1B61">
        <w:rPr>
          <w:sz w:val="22"/>
          <w:szCs w:val="18"/>
          <w:lang w:val="en-US"/>
        </w:rPr>
        <w:t xml:space="preserve">. </w:t>
      </w:r>
    </w:p>
    <w:p w14:paraId="7BD15518" w14:textId="18CD45E7" w:rsidR="004B06C5" w:rsidRPr="003B5177" w:rsidRDefault="00141B6B" w:rsidP="00141B6B">
      <w:pPr>
        <w:spacing w:after="160" w:line="259" w:lineRule="auto"/>
        <w:rPr>
          <w:rFonts w:ascii="Aptos SemiBold" w:eastAsiaTheme="majorEastAsia" w:hAnsi="Aptos SemiBold" w:cstheme="majorBidi"/>
          <w:color w:val="3A5A88" w:themeColor="accent1"/>
          <w:sz w:val="40"/>
          <w:szCs w:val="26"/>
          <w:lang w:val="en-CA"/>
        </w:rPr>
      </w:pPr>
      <w:r w:rsidRPr="00914BE8">
        <w:rPr>
          <w:sz w:val="22"/>
          <w:szCs w:val="18"/>
          <w:lang w:val="en-CA"/>
        </w:rPr>
        <w:t xml:space="preserve">Yousefi, L. (2016). </w:t>
      </w:r>
      <w:hyperlink r:id="rId65" w:history="1">
        <w:r w:rsidR="00123727">
          <w:rPr>
            <w:rStyle w:val="Hyperlink"/>
            <w:i/>
            <w:iCs/>
            <w:sz w:val="22"/>
            <w:szCs w:val="18"/>
            <w:lang w:val="en-CA"/>
          </w:rPr>
          <w:t>How much do family law trials cost? (en anglais seulement)</w:t>
        </w:r>
      </w:hyperlink>
      <w:r w:rsidRPr="00914BE8">
        <w:rPr>
          <w:sz w:val="22"/>
          <w:szCs w:val="18"/>
          <w:lang w:val="en-CA"/>
        </w:rPr>
        <w:t xml:space="preserve"> YLAW. </w:t>
      </w:r>
      <w:r w:rsidR="00DC4B04" w:rsidRPr="003B5177">
        <w:rPr>
          <w:lang w:val="en-CA"/>
        </w:rPr>
        <w:br w:type="page"/>
      </w:r>
    </w:p>
    <w:p w14:paraId="28BA6791" w14:textId="77777777" w:rsidR="004B06C5" w:rsidRPr="003B5177" w:rsidRDefault="00DC4B04" w:rsidP="004B06C5">
      <w:pPr>
        <w:pStyle w:val="Heading2"/>
        <w:rPr>
          <w:lang w:val="en-CA"/>
        </w:rPr>
      </w:pPr>
      <w:bookmarkStart w:id="15" w:name="_Toc206140391"/>
      <w:r w:rsidRPr="003B5177">
        <w:rPr>
          <w:lang w:val="en-CA"/>
        </w:rPr>
        <w:t>Notes de fin</w:t>
      </w:r>
      <w:bookmarkEnd w:id="15"/>
    </w:p>
    <w:sectPr w:rsidR="004B06C5" w:rsidRPr="003B5177" w:rsidSect="00C80AFA">
      <w:pgSz w:w="12240" w:h="15840" w:code="1"/>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C7B6" w14:textId="77777777" w:rsidR="00D44ECB" w:rsidRDefault="00D44ECB" w:rsidP="00AD7EE5">
      <w:pPr>
        <w:spacing w:after="0" w:line="240" w:lineRule="auto"/>
      </w:pPr>
      <w:r>
        <w:separator/>
      </w:r>
    </w:p>
  </w:endnote>
  <w:endnote w:type="continuationSeparator" w:id="0">
    <w:p w14:paraId="3EE5F506" w14:textId="77777777" w:rsidR="00D44ECB" w:rsidRDefault="00D44ECB" w:rsidP="00AD7EE5">
      <w:pPr>
        <w:spacing w:after="0" w:line="240" w:lineRule="auto"/>
      </w:pPr>
      <w:r>
        <w:continuationSeparator/>
      </w:r>
    </w:p>
  </w:endnote>
  <w:endnote w:type="continuationNotice" w:id="1">
    <w:p w14:paraId="6DB2A635" w14:textId="77777777" w:rsidR="00D44ECB" w:rsidRDefault="00D44ECB">
      <w:pPr>
        <w:spacing w:after="0" w:line="240" w:lineRule="auto"/>
      </w:pPr>
    </w:p>
  </w:endnote>
  <w:endnote w:id="2">
    <w:p w14:paraId="30622B94" w14:textId="77777777" w:rsidR="00837EDE" w:rsidRDefault="00DC4B04" w:rsidP="00CF41A8">
      <w:pPr>
        <w:pStyle w:val="EndnoteText"/>
        <w:spacing w:after="120"/>
      </w:pPr>
      <w:r>
        <w:rPr>
          <w:rStyle w:val="EndnoteReference"/>
        </w:rPr>
        <w:endnoteRef/>
      </w:r>
      <w:r>
        <w:t xml:space="preserve">Ces estimations concordaient également avec CoParenter (2022), Law for Families (2021), Lemieux Litigation (2018), West Coat ADR Law Group (2024) et Yousefi (2016).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1DC4" w14:textId="77777777" w:rsidR="007314DE" w:rsidRDefault="00DC4B04">
    <w:pPr>
      <w:pStyle w:val="Footer"/>
    </w:pPr>
    <w:r>
      <w:rPr>
        <w:noProof/>
      </w:rPr>
      <mc:AlternateContent>
        <mc:Choice Requires="wps">
          <w:drawing>
            <wp:anchor distT="0" distB="0" distL="0" distR="0" simplePos="0" relativeHeight="251660288" behindDoc="0" locked="0" layoutInCell="1" allowOverlap="1" wp14:anchorId="36CA4351" wp14:editId="0885456F">
              <wp:simplePos x="0" y="0"/>
              <wp:positionH relativeFrom="page">
                <wp:align>right</wp:align>
              </wp:positionH>
              <wp:positionV relativeFrom="page">
                <wp:align>bottom</wp:align>
              </wp:positionV>
              <wp:extent cx="443865" cy="443865"/>
              <wp:effectExtent l="0" t="0" r="0" b="0"/>
              <wp:wrapNone/>
              <wp:docPr id="10" name="Text Box 10"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DA3A95" w14:textId="77777777" w:rsidR="007314DE" w:rsidRPr="002B5790" w:rsidRDefault="00DC4B04" w:rsidP="002B5790">
                          <w:pPr>
                            <w:spacing w:after="0"/>
                            <w:rPr>
                              <w:rFonts w:ascii="Calibri" w:eastAsia="Calibri" w:hAnsi="Calibri" w:cs="Calibri"/>
                              <w:noProof/>
                              <w:color w:val="008000"/>
                              <w:sz w:val="20"/>
                              <w:szCs w:val="20"/>
                            </w:rPr>
                          </w:pPr>
                          <w:r>
                            <w:rPr>
                              <w:rFonts w:ascii="Calibri" w:hAnsi="Calibri"/>
                              <w:color w:val="008000"/>
                              <w:sz w:val="20"/>
                              <w:szCs w:val="20"/>
                            </w:rPr>
                            <w:t>Non classifié | Unclassified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6CA4351" id="_x0000_t202" coordsize="21600,21600" o:spt="202" path="m,l,21600r21600,l21600,xe">
              <v:stroke joinstyle="miter"/>
              <v:path gradientshapeok="t" o:connecttype="rect"/>
            </v:shapetype>
            <v:shape id="Text Box 10" o:spid="_x0000_s1027" type="#_x0000_t202" alt="Unclassified | Non classifié" style="position:absolute;margin-left:-5.05pt;margin-top:0;width:34.95pt;height:34.9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7CDA3A95" w14:textId="77777777" w:rsidR="007314DE" w:rsidRPr="002B5790" w:rsidRDefault="00DC4B04" w:rsidP="002B5790">
                    <w:pPr>
                      <w:spacing w:after="0"/>
                      <w:rPr>
                        <w:rFonts w:ascii="Calibri" w:eastAsia="Calibri" w:hAnsi="Calibri" w:cs="Calibri"/>
                        <w:noProof/>
                        <w:color w:val="008000"/>
                        <w:sz w:val="20"/>
                        <w:szCs w:val="20"/>
                      </w:rPr>
                    </w:pPr>
                    <w:r>
                      <w:rPr>
                        <w:rFonts w:ascii="Calibri" w:hAnsi="Calibri"/>
                        <w:color w:val="008000"/>
                        <w:sz w:val="20"/>
                        <w:szCs w:val="20"/>
                      </w:rPr>
                      <w:t>Non classifié |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E322" w14:textId="25A73F11" w:rsidR="007314DE" w:rsidRDefault="00DC4B04">
    <w:pPr>
      <w:pStyle w:val="Footer"/>
    </w:pPr>
    <w:r>
      <w:t xml:space="preserve">Page </w:t>
    </w:r>
    <w:sdt>
      <w:sdtPr>
        <w:id w:val="18821293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fldChar w:fldCharType="end"/>
        </w:r>
        <w:r>
          <w:t xml:space="preserve">  |</w:t>
        </w:r>
      </w:sdtContent>
    </w:sdt>
  </w:p>
  <w:p w14:paraId="52402F45" w14:textId="77777777" w:rsidR="007314DE" w:rsidRDefault="00DC4B04" w:rsidP="008C3A80">
    <w:pPr>
      <w:pStyle w:val="Footer"/>
      <w:tabs>
        <w:tab w:val="clear" w:pos="4680"/>
        <w:tab w:val="clear" w:pos="9360"/>
        <w:tab w:val="left" w:pos="53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81E0" w14:textId="77777777" w:rsidR="00900E14" w:rsidRDefault="00900E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BC0D" w14:textId="437ED788" w:rsidR="00634D36" w:rsidRDefault="00634D36" w:rsidP="00634D36">
    <w:pPr>
      <w:pStyle w:val="Footer"/>
    </w:pPr>
    <w:r>
      <w:t xml:space="preserve">Page </w:t>
    </w:r>
    <w:sdt>
      <w:sdtPr>
        <w:id w:val="-7005479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4</w:t>
        </w:r>
        <w:r>
          <w:fldChar w:fldCharType="end"/>
        </w:r>
        <w:r>
          <w:t xml:space="preserve">  |  </w:t>
        </w:r>
        <w:fldSimple w:instr=" STYLEREF  &quot;Heading 2&quot; \l  \* MERGEFORMAT ">
          <w:r w:rsidR="00B4677F">
            <w:rPr>
              <w:noProof/>
            </w:rPr>
            <w:t>Références</w:t>
          </w:r>
        </w:fldSimple>
      </w:sdtContent>
    </w:sdt>
  </w:p>
  <w:p w14:paraId="076D646E" w14:textId="77777777" w:rsidR="00634D36" w:rsidRDefault="00634D36" w:rsidP="008C3A80">
    <w:pPr>
      <w:pStyle w:val="Footer"/>
      <w:tabs>
        <w:tab w:val="clear" w:pos="4680"/>
        <w:tab w:val="clear" w:pos="9360"/>
        <w:tab w:val="left" w:pos="5370"/>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DBF0" w14:textId="3FD1A2D6" w:rsidR="00634D36" w:rsidRDefault="00634D36" w:rsidP="00900E14">
    <w:pPr>
      <w:pStyle w:val="Footer"/>
    </w:pPr>
    <w:r>
      <w:t xml:space="preserve">Page </w:t>
    </w:r>
    <w:sdt>
      <w:sdtPr>
        <w:id w:val="20618172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29</w:t>
        </w:r>
        <w:r>
          <w:fldChar w:fldCharType="end"/>
        </w:r>
        <w:r>
          <w:t xml:space="preserve">  |  </w:t>
        </w:r>
        <w:fldSimple w:instr=" STYLEREF  &quot;Heading 2&quot; \l  \* MERGEFORMAT ">
          <w:r w:rsidR="00B4677F">
            <w:rPr>
              <w:noProof/>
            </w:rPr>
            <w:t>Références</w:t>
          </w:r>
        </w:fldSimple>
      </w:sdtContent>
    </w:sdt>
  </w:p>
  <w:p w14:paraId="7F4A3B3C" w14:textId="77777777" w:rsidR="00634D36" w:rsidRDefault="00634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B3545" w14:textId="77777777" w:rsidR="00D44ECB" w:rsidRDefault="00D44ECB" w:rsidP="00AD7EE5">
      <w:pPr>
        <w:spacing w:after="0" w:line="240" w:lineRule="auto"/>
      </w:pPr>
      <w:r>
        <w:separator/>
      </w:r>
    </w:p>
  </w:footnote>
  <w:footnote w:type="continuationSeparator" w:id="0">
    <w:p w14:paraId="20D122A0" w14:textId="77777777" w:rsidR="00D44ECB" w:rsidRDefault="00D44ECB" w:rsidP="00AD7EE5">
      <w:pPr>
        <w:spacing w:after="0" w:line="240" w:lineRule="auto"/>
      </w:pPr>
      <w:r>
        <w:continuationSeparator/>
      </w:r>
    </w:p>
  </w:footnote>
  <w:footnote w:type="continuationNotice" w:id="1">
    <w:p w14:paraId="755223FF" w14:textId="77777777" w:rsidR="00D44ECB" w:rsidRDefault="00D44ECB">
      <w:pPr>
        <w:spacing w:after="0" w:line="240" w:lineRule="auto"/>
      </w:pPr>
    </w:p>
  </w:footnote>
  <w:footnote w:id="2">
    <w:p w14:paraId="41A2F8DB" w14:textId="6E0500DF" w:rsidR="0099674C" w:rsidRPr="00C07F82" w:rsidRDefault="00DC4B04" w:rsidP="0099674C">
      <w:pPr>
        <w:pStyle w:val="FootnoteText"/>
      </w:pPr>
      <w:r>
        <w:rPr>
          <w:rStyle w:val="FootnoteReference"/>
          <w:sz w:val="22"/>
          <w:szCs w:val="16"/>
        </w:rPr>
        <w:footnoteRef/>
      </w:r>
      <w:r>
        <w:rPr>
          <w:sz w:val="22"/>
          <w:szCs w:val="16"/>
        </w:rPr>
        <w:t xml:space="preserve"> </w:t>
      </w:r>
      <w:r>
        <w:rPr>
          <w:b/>
          <w:bCs/>
          <w:sz w:val="22"/>
          <w:szCs w:val="16"/>
        </w:rPr>
        <w:t>Avoir des démêlés avec la justice</w:t>
      </w:r>
      <w:r>
        <w:rPr>
          <w:sz w:val="22"/>
          <w:szCs w:val="16"/>
        </w:rPr>
        <w:t xml:space="preserve"> désigne une personne qui a eu des démêlés avec le système de justice pénale, que ce soit par l</w:t>
      </w:r>
      <w:r w:rsidR="003B5177">
        <w:rPr>
          <w:sz w:val="22"/>
          <w:szCs w:val="16"/>
        </w:rPr>
        <w:t>’</w:t>
      </w:r>
      <w:r>
        <w:rPr>
          <w:sz w:val="22"/>
          <w:szCs w:val="16"/>
        </w:rPr>
        <w:t>intermédiaire de la police, des tribunaux ou du système correctionnel (Andrews et Bonta, 2024). Une personne ayant des démêlés avec la justice peut avoir été arrêtée, accusée, condamnée, en libération conditionnelle, en probation ou incarcérée.</w:t>
      </w:r>
    </w:p>
  </w:footnote>
  <w:footnote w:id="3">
    <w:p w14:paraId="5D485FA7" w14:textId="77777777" w:rsidR="00900E14" w:rsidRPr="000C1882" w:rsidRDefault="00900E14" w:rsidP="00900E14">
      <w:pPr>
        <w:pStyle w:val="FootnoteText"/>
        <w:spacing w:after="120"/>
        <w:rPr>
          <w:sz w:val="22"/>
          <w:szCs w:val="16"/>
        </w:rPr>
      </w:pPr>
      <w:r>
        <w:rPr>
          <w:rStyle w:val="FootnoteReference"/>
          <w:sz w:val="22"/>
          <w:szCs w:val="16"/>
        </w:rPr>
        <w:footnoteRef/>
      </w:r>
      <w:r>
        <w:rPr>
          <w:b/>
          <w:bCs/>
          <w:sz w:val="22"/>
          <w:szCs w:val="16"/>
        </w:rPr>
        <w:t>Le comportement criminel</w:t>
      </w:r>
      <w:r>
        <w:rPr>
          <w:sz w:val="22"/>
          <w:szCs w:val="16"/>
        </w:rPr>
        <w:t xml:space="preserve"> fait référence à la participation d’une personne à une activité criminelle, y compris l’adoption d’un comportement délinquant ou illégal et la perpétration d’un crime (Andrews et Bonta, 2024). </w:t>
      </w:r>
    </w:p>
  </w:footnote>
  <w:footnote w:id="4">
    <w:p w14:paraId="24139260" w14:textId="1286E62A" w:rsidR="007314DE" w:rsidRPr="0090119F" w:rsidRDefault="00DC4B04" w:rsidP="00CD5DC0">
      <w:pPr>
        <w:pStyle w:val="FootnoteText"/>
      </w:pPr>
      <w:r>
        <w:rPr>
          <w:rStyle w:val="FootnoteReference"/>
          <w:sz w:val="22"/>
          <w:szCs w:val="16"/>
        </w:rPr>
        <w:footnoteRef/>
      </w:r>
      <w:r>
        <w:rPr>
          <w:i/>
          <w:iCs/>
          <w:sz w:val="22"/>
          <w:szCs w:val="16"/>
        </w:rPr>
        <w:t>Les commissions d</w:t>
      </w:r>
      <w:r w:rsidR="003B5177">
        <w:rPr>
          <w:i/>
          <w:iCs/>
          <w:sz w:val="22"/>
          <w:szCs w:val="16"/>
        </w:rPr>
        <w:t>’</w:t>
      </w:r>
      <w:r>
        <w:rPr>
          <w:i/>
          <w:iCs/>
          <w:sz w:val="22"/>
          <w:szCs w:val="16"/>
        </w:rPr>
        <w:t>examen du Code criminel</w:t>
      </w:r>
      <w:r>
        <w:rPr>
          <w:sz w:val="22"/>
          <w:szCs w:val="16"/>
        </w:rPr>
        <w:t xml:space="preserve"> sont des tribunaux spécialisés qui rendent et examinent les décisions concernant tout accusé déclaré non criminellement responsable en raison d</w:t>
      </w:r>
      <w:r w:rsidR="003B5177">
        <w:rPr>
          <w:sz w:val="22"/>
          <w:szCs w:val="16"/>
        </w:rPr>
        <w:t>’</w:t>
      </w:r>
      <w:r>
        <w:rPr>
          <w:sz w:val="22"/>
          <w:szCs w:val="16"/>
        </w:rPr>
        <w:t>un trouble mental ou parce qu</w:t>
      </w:r>
      <w:r w:rsidR="003B5177">
        <w:rPr>
          <w:sz w:val="22"/>
          <w:szCs w:val="16"/>
        </w:rPr>
        <w:t>’</w:t>
      </w:r>
      <w:r>
        <w:rPr>
          <w:sz w:val="22"/>
          <w:szCs w:val="16"/>
        </w:rPr>
        <w:t>il est inapte à subir son procès. Chaque province et territoire doit constituer une commission d</w:t>
      </w:r>
      <w:r w:rsidR="003B5177">
        <w:rPr>
          <w:sz w:val="22"/>
          <w:szCs w:val="16"/>
        </w:rPr>
        <w:t>’</w:t>
      </w:r>
      <w:r>
        <w:rPr>
          <w:sz w:val="22"/>
          <w:szCs w:val="16"/>
        </w:rPr>
        <w:t>examen en vertu de l</w:t>
      </w:r>
      <w:r w:rsidR="003B5177">
        <w:rPr>
          <w:sz w:val="22"/>
          <w:szCs w:val="16"/>
        </w:rPr>
        <w:t>’</w:t>
      </w:r>
      <w:r>
        <w:rPr>
          <w:sz w:val="22"/>
          <w:szCs w:val="16"/>
        </w:rPr>
        <w:t xml:space="preserve">article 672.38 du </w:t>
      </w:r>
      <w:r>
        <w:rPr>
          <w:i/>
          <w:iCs/>
          <w:sz w:val="22"/>
          <w:szCs w:val="16"/>
        </w:rPr>
        <w:t>Code</w:t>
      </w:r>
      <w:r>
        <w:rPr>
          <w:sz w:val="22"/>
          <w:szCs w:val="16"/>
        </w:rPr>
        <w:t xml:space="preserve"> criminel.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B900" w14:textId="77777777" w:rsidR="007314DE" w:rsidRDefault="00DC4B04">
    <w:pPr>
      <w:pStyle w:val="Header"/>
    </w:pPr>
    <w:r>
      <w:rPr>
        <w:noProof/>
      </w:rPr>
      <mc:AlternateContent>
        <mc:Choice Requires="wps">
          <w:drawing>
            <wp:anchor distT="0" distB="0" distL="0" distR="0" simplePos="0" relativeHeight="251658240" behindDoc="0" locked="0" layoutInCell="1" allowOverlap="1" wp14:anchorId="1E14A48D" wp14:editId="18F980AE">
              <wp:simplePos x="0" y="0"/>
              <wp:positionH relativeFrom="page">
                <wp:align>right</wp:align>
              </wp:positionH>
              <wp:positionV relativeFrom="page">
                <wp:align>top</wp:align>
              </wp:positionV>
              <wp:extent cx="443865" cy="443865"/>
              <wp:effectExtent l="0" t="0" r="0" b="11430"/>
              <wp:wrapNone/>
              <wp:docPr id="6" name="Text Box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083C70" w14:textId="77777777" w:rsidR="007314DE" w:rsidRPr="002B5790" w:rsidRDefault="00DC4B04" w:rsidP="002B5790">
                          <w:pPr>
                            <w:spacing w:after="0"/>
                            <w:rPr>
                              <w:rFonts w:ascii="Calibri" w:eastAsia="Calibri" w:hAnsi="Calibri" w:cs="Calibri"/>
                              <w:noProof/>
                              <w:color w:val="008000"/>
                              <w:sz w:val="20"/>
                              <w:szCs w:val="20"/>
                            </w:rPr>
                          </w:pPr>
                          <w:r>
                            <w:rPr>
                              <w:rFonts w:ascii="Calibri" w:hAnsi="Calibri"/>
                              <w:color w:val="008000"/>
                              <w:sz w:val="20"/>
                              <w:szCs w:val="2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14A48D" id="_x0000_t202" coordsize="21600,21600" o:spt="202" path="m,l,21600r21600,l21600,xe">
              <v:stroke joinstyle="miter"/>
              <v:path gradientshapeok="t" o:connecttype="rect"/>
            </v:shapetype>
            <v:shape id="Text Box 6" o:spid="_x0000_s1026" type="#_x0000_t202" alt="Unclassified | Non classifié" style="position:absolute;margin-left:-5.0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8083C70" w14:textId="77777777" w:rsidR="007314DE" w:rsidRPr="002B5790" w:rsidRDefault="00DC4B04" w:rsidP="002B5790">
                    <w:pPr>
                      <w:spacing w:after="0"/>
                      <w:rPr>
                        <w:rFonts w:ascii="Calibri" w:eastAsia="Calibri" w:hAnsi="Calibri" w:cs="Calibri"/>
                        <w:noProof/>
                        <w:color w:val="008000"/>
                        <w:sz w:val="20"/>
                        <w:szCs w:val="20"/>
                      </w:rPr>
                    </w:pPr>
                    <w:r>
                      <w:rPr>
                        <w:rFonts w:ascii="Calibri" w:hAnsi="Calibri"/>
                        <w:color w:val="008000"/>
                        <w:sz w:val="20"/>
                        <w:szCs w:val="20"/>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DD14" w14:textId="77777777" w:rsidR="00634D36" w:rsidRDefault="00634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AADD" w14:textId="77777777" w:rsidR="007314DE" w:rsidRDefault="00DC4B04" w:rsidP="00C80AFA">
    <w:pPr>
      <w:pStyle w:val="Header"/>
      <w:tabs>
        <w:tab w:val="clear" w:pos="4680"/>
        <w:tab w:val="clear" w:pos="9360"/>
        <w:tab w:val="left" w:pos="7523"/>
      </w:tabs>
    </w:pPr>
    <w:r>
      <w:rPr>
        <w:noProof/>
      </w:rPr>
      <w:drawing>
        <wp:anchor distT="0" distB="0" distL="114300" distR="114300" simplePos="0" relativeHeight="251662336" behindDoc="1" locked="0" layoutInCell="1" allowOverlap="1" wp14:anchorId="7BC55FFA" wp14:editId="2A6439CF">
          <wp:simplePos x="0" y="0"/>
          <wp:positionH relativeFrom="margin">
            <wp:posOffset>-914400</wp:posOffset>
          </wp:positionH>
          <wp:positionV relativeFrom="paragraph">
            <wp:posOffset>-448537</wp:posOffset>
          </wp:positionV>
          <wp:extent cx="7784864" cy="10008264"/>
          <wp:effectExtent l="0" t="0" r="6985" b="0"/>
          <wp:wrapNone/>
          <wp:docPr id="479943487" name="Picture 1" descr="Les logos de Sécurité publique Canada et du gouvernement du Canada se font face. Sous ceux-ci, une large bande grise et une bande dorée plus étroite s’étendent sur toute la largeur du haut de la page. Enchâssée dans ces bandes, une feuille d’érable rouge accompagne le slogan « Pour un Canada sûr et résilient ». Plus bas, une illustration stylisée montre une personne assise sur un écran d’ordinateur affichant des graphiques. À gauche, une grande calculatrice indique « 1 600 000 ». À droite, des documents et un stylo évoquent l’analyse ou la production de donné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43487" name="Picture 1" descr="Les logos de Sécurité publique Canada et du gouvernement du Canada se font face. Sous ceux-ci, une large bande grise et une bande dorée plus étroite s’étendent sur toute la largeur du haut de la page. Enchâssée dans ces bandes, une feuille d’érable rouge accompagne le slogan « Pour un Canada sûr et résilient ». Plus bas, une illustration stylisée montre une personne assise sur un écran d’ordinateur affichant des graphiques. À gauche, une grande calculatrice indique « 1 600 000 ». À droite, des documents et un stylo évoquent l’analyse ou la production de donnée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84864" cy="100082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500C" w14:textId="77777777" w:rsidR="00634D36" w:rsidRDefault="00634D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C4AF" w14:textId="3C4E9F72" w:rsidR="00634D36" w:rsidRDefault="00634D36" w:rsidP="00C80AFA">
    <w:pPr>
      <w:pStyle w:val="Header"/>
      <w:tabs>
        <w:tab w:val="clear" w:pos="4680"/>
        <w:tab w:val="clear" w:pos="9360"/>
        <w:tab w:val="left" w:pos="7523"/>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930D" w14:textId="77777777" w:rsidR="00C168E5" w:rsidRDefault="00C168E5" w:rsidP="00C80AFA">
    <w:pPr>
      <w:pStyle w:val="Header"/>
      <w:tabs>
        <w:tab w:val="clear" w:pos="4680"/>
        <w:tab w:val="clear" w:pos="9360"/>
        <w:tab w:val="left" w:pos="752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D02F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5606F"/>
    <w:multiLevelType w:val="hybridMultilevel"/>
    <w:tmpl w:val="0366E36C"/>
    <w:lvl w:ilvl="0" w:tplc="DE38C82C">
      <w:start w:val="1"/>
      <w:numFmt w:val="decimal"/>
      <w:lvlText w:val="%1."/>
      <w:lvlJc w:val="left"/>
      <w:pPr>
        <w:ind w:left="720" w:hanging="360"/>
      </w:pPr>
      <w:rPr>
        <w:rFonts w:hint="default"/>
      </w:rPr>
    </w:lvl>
    <w:lvl w:ilvl="1" w:tplc="BCDCC156" w:tentative="1">
      <w:start w:val="1"/>
      <w:numFmt w:val="lowerLetter"/>
      <w:lvlText w:val="%2."/>
      <w:lvlJc w:val="left"/>
      <w:pPr>
        <w:ind w:left="1440" w:hanging="360"/>
      </w:pPr>
    </w:lvl>
    <w:lvl w:ilvl="2" w:tplc="BA107226" w:tentative="1">
      <w:start w:val="1"/>
      <w:numFmt w:val="lowerRoman"/>
      <w:lvlText w:val="%3."/>
      <w:lvlJc w:val="right"/>
      <w:pPr>
        <w:ind w:left="2160" w:hanging="180"/>
      </w:pPr>
    </w:lvl>
    <w:lvl w:ilvl="3" w:tplc="A2366806" w:tentative="1">
      <w:start w:val="1"/>
      <w:numFmt w:val="decimal"/>
      <w:lvlText w:val="%4."/>
      <w:lvlJc w:val="left"/>
      <w:pPr>
        <w:ind w:left="2880" w:hanging="360"/>
      </w:pPr>
    </w:lvl>
    <w:lvl w:ilvl="4" w:tplc="16F2990C" w:tentative="1">
      <w:start w:val="1"/>
      <w:numFmt w:val="lowerLetter"/>
      <w:lvlText w:val="%5."/>
      <w:lvlJc w:val="left"/>
      <w:pPr>
        <w:ind w:left="3600" w:hanging="360"/>
      </w:pPr>
    </w:lvl>
    <w:lvl w:ilvl="5" w:tplc="0D9C8ED0" w:tentative="1">
      <w:start w:val="1"/>
      <w:numFmt w:val="lowerRoman"/>
      <w:lvlText w:val="%6."/>
      <w:lvlJc w:val="right"/>
      <w:pPr>
        <w:ind w:left="4320" w:hanging="180"/>
      </w:pPr>
    </w:lvl>
    <w:lvl w:ilvl="6" w:tplc="683EA0C6" w:tentative="1">
      <w:start w:val="1"/>
      <w:numFmt w:val="decimal"/>
      <w:lvlText w:val="%7."/>
      <w:lvlJc w:val="left"/>
      <w:pPr>
        <w:ind w:left="5040" w:hanging="360"/>
      </w:pPr>
    </w:lvl>
    <w:lvl w:ilvl="7" w:tplc="64CA118A" w:tentative="1">
      <w:start w:val="1"/>
      <w:numFmt w:val="lowerLetter"/>
      <w:lvlText w:val="%8."/>
      <w:lvlJc w:val="left"/>
      <w:pPr>
        <w:ind w:left="5760" w:hanging="360"/>
      </w:pPr>
    </w:lvl>
    <w:lvl w:ilvl="8" w:tplc="502620BA" w:tentative="1">
      <w:start w:val="1"/>
      <w:numFmt w:val="lowerRoman"/>
      <w:lvlText w:val="%9."/>
      <w:lvlJc w:val="right"/>
      <w:pPr>
        <w:ind w:left="6480" w:hanging="180"/>
      </w:pPr>
    </w:lvl>
  </w:abstractNum>
  <w:abstractNum w:abstractNumId="2" w15:restartNumberingAfterBreak="0">
    <w:nsid w:val="01E322A7"/>
    <w:multiLevelType w:val="hybridMultilevel"/>
    <w:tmpl w:val="9D24F51A"/>
    <w:lvl w:ilvl="0" w:tplc="04090001">
      <w:start w:val="1"/>
      <w:numFmt w:val="bullet"/>
      <w:lvlText w:val=""/>
      <w:lvlJc w:val="left"/>
      <w:pPr>
        <w:ind w:left="720" w:hanging="360"/>
      </w:pPr>
      <w:rPr>
        <w:rFonts w:ascii="Symbol" w:hAnsi="Symbol" w:hint="default"/>
      </w:rPr>
    </w:lvl>
    <w:lvl w:ilvl="1" w:tplc="B0903598" w:tentative="1">
      <w:start w:val="1"/>
      <w:numFmt w:val="lowerLetter"/>
      <w:lvlText w:val="%2."/>
      <w:lvlJc w:val="left"/>
      <w:pPr>
        <w:ind w:left="1440" w:hanging="360"/>
      </w:pPr>
    </w:lvl>
    <w:lvl w:ilvl="2" w:tplc="64BC14CC" w:tentative="1">
      <w:start w:val="1"/>
      <w:numFmt w:val="lowerRoman"/>
      <w:lvlText w:val="%3."/>
      <w:lvlJc w:val="right"/>
      <w:pPr>
        <w:ind w:left="2160" w:hanging="180"/>
      </w:pPr>
    </w:lvl>
    <w:lvl w:ilvl="3" w:tplc="3DB808CA" w:tentative="1">
      <w:start w:val="1"/>
      <w:numFmt w:val="decimal"/>
      <w:lvlText w:val="%4."/>
      <w:lvlJc w:val="left"/>
      <w:pPr>
        <w:ind w:left="2880" w:hanging="360"/>
      </w:pPr>
    </w:lvl>
    <w:lvl w:ilvl="4" w:tplc="6A829E4E" w:tentative="1">
      <w:start w:val="1"/>
      <w:numFmt w:val="lowerLetter"/>
      <w:lvlText w:val="%5."/>
      <w:lvlJc w:val="left"/>
      <w:pPr>
        <w:ind w:left="3600" w:hanging="360"/>
      </w:pPr>
    </w:lvl>
    <w:lvl w:ilvl="5" w:tplc="925C7B86" w:tentative="1">
      <w:start w:val="1"/>
      <w:numFmt w:val="lowerRoman"/>
      <w:lvlText w:val="%6."/>
      <w:lvlJc w:val="right"/>
      <w:pPr>
        <w:ind w:left="4320" w:hanging="180"/>
      </w:pPr>
    </w:lvl>
    <w:lvl w:ilvl="6" w:tplc="21504356" w:tentative="1">
      <w:start w:val="1"/>
      <w:numFmt w:val="decimal"/>
      <w:lvlText w:val="%7."/>
      <w:lvlJc w:val="left"/>
      <w:pPr>
        <w:ind w:left="5040" w:hanging="360"/>
      </w:pPr>
    </w:lvl>
    <w:lvl w:ilvl="7" w:tplc="98405B78" w:tentative="1">
      <w:start w:val="1"/>
      <w:numFmt w:val="lowerLetter"/>
      <w:lvlText w:val="%8."/>
      <w:lvlJc w:val="left"/>
      <w:pPr>
        <w:ind w:left="5760" w:hanging="360"/>
      </w:pPr>
    </w:lvl>
    <w:lvl w:ilvl="8" w:tplc="8700982A" w:tentative="1">
      <w:start w:val="1"/>
      <w:numFmt w:val="lowerRoman"/>
      <w:lvlText w:val="%9."/>
      <w:lvlJc w:val="right"/>
      <w:pPr>
        <w:ind w:left="6480" w:hanging="180"/>
      </w:pPr>
    </w:lvl>
  </w:abstractNum>
  <w:abstractNum w:abstractNumId="3" w15:restartNumberingAfterBreak="0">
    <w:nsid w:val="12C83218"/>
    <w:multiLevelType w:val="hybridMultilevel"/>
    <w:tmpl w:val="ED54341E"/>
    <w:lvl w:ilvl="0" w:tplc="63A08D84">
      <w:start w:val="1"/>
      <w:numFmt w:val="bullet"/>
      <w:pStyle w:val="ExpandHideHeader"/>
      <w:lvlText w:val=""/>
      <w:lvlJc w:val="left"/>
      <w:pPr>
        <w:ind w:left="720" w:hanging="360"/>
      </w:pPr>
      <w:rPr>
        <w:rFonts w:ascii="Webdings" w:hAnsi="Webdings" w:hint="default"/>
      </w:rPr>
    </w:lvl>
    <w:lvl w:ilvl="1" w:tplc="A94068FE" w:tentative="1">
      <w:start w:val="1"/>
      <w:numFmt w:val="bullet"/>
      <w:lvlText w:val="o"/>
      <w:lvlJc w:val="left"/>
      <w:pPr>
        <w:ind w:left="1440" w:hanging="360"/>
      </w:pPr>
      <w:rPr>
        <w:rFonts w:ascii="Courier New" w:hAnsi="Courier New" w:cs="Courier New" w:hint="default"/>
      </w:rPr>
    </w:lvl>
    <w:lvl w:ilvl="2" w:tplc="48B0E95C" w:tentative="1">
      <w:start w:val="1"/>
      <w:numFmt w:val="bullet"/>
      <w:lvlText w:val=""/>
      <w:lvlJc w:val="left"/>
      <w:pPr>
        <w:ind w:left="2160" w:hanging="360"/>
      </w:pPr>
      <w:rPr>
        <w:rFonts w:ascii="Wingdings" w:hAnsi="Wingdings" w:hint="default"/>
      </w:rPr>
    </w:lvl>
    <w:lvl w:ilvl="3" w:tplc="2F52B70E" w:tentative="1">
      <w:start w:val="1"/>
      <w:numFmt w:val="bullet"/>
      <w:lvlText w:val=""/>
      <w:lvlJc w:val="left"/>
      <w:pPr>
        <w:ind w:left="2880" w:hanging="360"/>
      </w:pPr>
      <w:rPr>
        <w:rFonts w:ascii="Symbol" w:hAnsi="Symbol" w:hint="default"/>
      </w:rPr>
    </w:lvl>
    <w:lvl w:ilvl="4" w:tplc="3E8CE5FA" w:tentative="1">
      <w:start w:val="1"/>
      <w:numFmt w:val="bullet"/>
      <w:lvlText w:val="o"/>
      <w:lvlJc w:val="left"/>
      <w:pPr>
        <w:ind w:left="3600" w:hanging="360"/>
      </w:pPr>
      <w:rPr>
        <w:rFonts w:ascii="Courier New" w:hAnsi="Courier New" w:cs="Courier New" w:hint="default"/>
      </w:rPr>
    </w:lvl>
    <w:lvl w:ilvl="5" w:tplc="4D9CE120" w:tentative="1">
      <w:start w:val="1"/>
      <w:numFmt w:val="bullet"/>
      <w:lvlText w:val=""/>
      <w:lvlJc w:val="left"/>
      <w:pPr>
        <w:ind w:left="4320" w:hanging="360"/>
      </w:pPr>
      <w:rPr>
        <w:rFonts w:ascii="Wingdings" w:hAnsi="Wingdings" w:hint="default"/>
      </w:rPr>
    </w:lvl>
    <w:lvl w:ilvl="6" w:tplc="37E23D16" w:tentative="1">
      <w:start w:val="1"/>
      <w:numFmt w:val="bullet"/>
      <w:lvlText w:val=""/>
      <w:lvlJc w:val="left"/>
      <w:pPr>
        <w:ind w:left="5040" w:hanging="360"/>
      </w:pPr>
      <w:rPr>
        <w:rFonts w:ascii="Symbol" w:hAnsi="Symbol" w:hint="default"/>
      </w:rPr>
    </w:lvl>
    <w:lvl w:ilvl="7" w:tplc="F59271A8" w:tentative="1">
      <w:start w:val="1"/>
      <w:numFmt w:val="bullet"/>
      <w:lvlText w:val="o"/>
      <w:lvlJc w:val="left"/>
      <w:pPr>
        <w:ind w:left="5760" w:hanging="360"/>
      </w:pPr>
      <w:rPr>
        <w:rFonts w:ascii="Courier New" w:hAnsi="Courier New" w:cs="Courier New" w:hint="default"/>
      </w:rPr>
    </w:lvl>
    <w:lvl w:ilvl="8" w:tplc="D4AECBA6" w:tentative="1">
      <w:start w:val="1"/>
      <w:numFmt w:val="bullet"/>
      <w:lvlText w:val=""/>
      <w:lvlJc w:val="left"/>
      <w:pPr>
        <w:ind w:left="6480" w:hanging="360"/>
      </w:pPr>
      <w:rPr>
        <w:rFonts w:ascii="Wingdings" w:hAnsi="Wingdings" w:hint="default"/>
      </w:rPr>
    </w:lvl>
  </w:abstractNum>
  <w:abstractNum w:abstractNumId="4" w15:restartNumberingAfterBreak="0">
    <w:nsid w:val="16FF787C"/>
    <w:multiLevelType w:val="hybridMultilevel"/>
    <w:tmpl w:val="2416EB1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9F73EC"/>
    <w:multiLevelType w:val="hybridMultilevel"/>
    <w:tmpl w:val="63E60C14"/>
    <w:lvl w:ilvl="0" w:tplc="04090001">
      <w:start w:val="1"/>
      <w:numFmt w:val="bullet"/>
      <w:lvlText w:val=""/>
      <w:lvlJc w:val="left"/>
      <w:pPr>
        <w:ind w:left="720" w:hanging="360"/>
      </w:pPr>
      <w:rPr>
        <w:rFonts w:ascii="Symbol" w:hAnsi="Symbol" w:hint="default"/>
      </w:rPr>
    </w:lvl>
    <w:lvl w:ilvl="1" w:tplc="FBCAFA4A" w:tentative="1">
      <w:start w:val="1"/>
      <w:numFmt w:val="lowerLetter"/>
      <w:lvlText w:val="%2."/>
      <w:lvlJc w:val="left"/>
      <w:pPr>
        <w:ind w:left="1440" w:hanging="360"/>
      </w:pPr>
    </w:lvl>
    <w:lvl w:ilvl="2" w:tplc="6F4EA406" w:tentative="1">
      <w:start w:val="1"/>
      <w:numFmt w:val="lowerRoman"/>
      <w:lvlText w:val="%3."/>
      <w:lvlJc w:val="right"/>
      <w:pPr>
        <w:ind w:left="2160" w:hanging="180"/>
      </w:pPr>
    </w:lvl>
    <w:lvl w:ilvl="3" w:tplc="EA64AB72" w:tentative="1">
      <w:start w:val="1"/>
      <w:numFmt w:val="decimal"/>
      <w:lvlText w:val="%4."/>
      <w:lvlJc w:val="left"/>
      <w:pPr>
        <w:ind w:left="2880" w:hanging="360"/>
      </w:pPr>
    </w:lvl>
    <w:lvl w:ilvl="4" w:tplc="E5D01AFA" w:tentative="1">
      <w:start w:val="1"/>
      <w:numFmt w:val="lowerLetter"/>
      <w:lvlText w:val="%5."/>
      <w:lvlJc w:val="left"/>
      <w:pPr>
        <w:ind w:left="3600" w:hanging="360"/>
      </w:pPr>
    </w:lvl>
    <w:lvl w:ilvl="5" w:tplc="2988CF94" w:tentative="1">
      <w:start w:val="1"/>
      <w:numFmt w:val="lowerRoman"/>
      <w:lvlText w:val="%6."/>
      <w:lvlJc w:val="right"/>
      <w:pPr>
        <w:ind w:left="4320" w:hanging="180"/>
      </w:pPr>
    </w:lvl>
    <w:lvl w:ilvl="6" w:tplc="D77E94C0" w:tentative="1">
      <w:start w:val="1"/>
      <w:numFmt w:val="decimal"/>
      <w:lvlText w:val="%7."/>
      <w:lvlJc w:val="left"/>
      <w:pPr>
        <w:ind w:left="5040" w:hanging="360"/>
      </w:pPr>
    </w:lvl>
    <w:lvl w:ilvl="7" w:tplc="F7AE7484" w:tentative="1">
      <w:start w:val="1"/>
      <w:numFmt w:val="lowerLetter"/>
      <w:lvlText w:val="%8."/>
      <w:lvlJc w:val="left"/>
      <w:pPr>
        <w:ind w:left="5760" w:hanging="360"/>
      </w:pPr>
    </w:lvl>
    <w:lvl w:ilvl="8" w:tplc="5218DEDC" w:tentative="1">
      <w:start w:val="1"/>
      <w:numFmt w:val="lowerRoman"/>
      <w:lvlText w:val="%9."/>
      <w:lvlJc w:val="right"/>
      <w:pPr>
        <w:ind w:left="6480" w:hanging="180"/>
      </w:pPr>
    </w:lvl>
  </w:abstractNum>
  <w:abstractNum w:abstractNumId="6" w15:restartNumberingAfterBreak="0">
    <w:nsid w:val="1A003459"/>
    <w:multiLevelType w:val="hybridMultilevel"/>
    <w:tmpl w:val="F27077AE"/>
    <w:lvl w:ilvl="0" w:tplc="EB7A2D16">
      <w:start w:val="1"/>
      <w:numFmt w:val="bullet"/>
      <w:lvlText w:val=""/>
      <w:lvlJc w:val="left"/>
      <w:pPr>
        <w:ind w:left="720" w:hanging="360"/>
      </w:pPr>
      <w:rPr>
        <w:rFonts w:ascii="Symbol" w:hAnsi="Symbol" w:hint="default"/>
      </w:rPr>
    </w:lvl>
    <w:lvl w:ilvl="1" w:tplc="0EB8F066" w:tentative="1">
      <w:start w:val="1"/>
      <w:numFmt w:val="bullet"/>
      <w:lvlText w:val="o"/>
      <w:lvlJc w:val="left"/>
      <w:pPr>
        <w:ind w:left="1440" w:hanging="360"/>
      </w:pPr>
      <w:rPr>
        <w:rFonts w:ascii="Courier New" w:hAnsi="Courier New" w:cs="Courier New" w:hint="default"/>
      </w:rPr>
    </w:lvl>
    <w:lvl w:ilvl="2" w:tplc="03041E64" w:tentative="1">
      <w:start w:val="1"/>
      <w:numFmt w:val="bullet"/>
      <w:lvlText w:val=""/>
      <w:lvlJc w:val="left"/>
      <w:pPr>
        <w:ind w:left="2160" w:hanging="360"/>
      </w:pPr>
      <w:rPr>
        <w:rFonts w:ascii="Wingdings" w:hAnsi="Wingdings" w:hint="default"/>
      </w:rPr>
    </w:lvl>
    <w:lvl w:ilvl="3" w:tplc="4094CBD8" w:tentative="1">
      <w:start w:val="1"/>
      <w:numFmt w:val="bullet"/>
      <w:lvlText w:val=""/>
      <w:lvlJc w:val="left"/>
      <w:pPr>
        <w:ind w:left="2880" w:hanging="360"/>
      </w:pPr>
      <w:rPr>
        <w:rFonts w:ascii="Symbol" w:hAnsi="Symbol" w:hint="default"/>
      </w:rPr>
    </w:lvl>
    <w:lvl w:ilvl="4" w:tplc="9FC8681E" w:tentative="1">
      <w:start w:val="1"/>
      <w:numFmt w:val="bullet"/>
      <w:lvlText w:val="o"/>
      <w:lvlJc w:val="left"/>
      <w:pPr>
        <w:ind w:left="3600" w:hanging="360"/>
      </w:pPr>
      <w:rPr>
        <w:rFonts w:ascii="Courier New" w:hAnsi="Courier New" w:cs="Courier New" w:hint="default"/>
      </w:rPr>
    </w:lvl>
    <w:lvl w:ilvl="5" w:tplc="BAA0FD7C" w:tentative="1">
      <w:start w:val="1"/>
      <w:numFmt w:val="bullet"/>
      <w:lvlText w:val=""/>
      <w:lvlJc w:val="left"/>
      <w:pPr>
        <w:ind w:left="4320" w:hanging="360"/>
      </w:pPr>
      <w:rPr>
        <w:rFonts w:ascii="Wingdings" w:hAnsi="Wingdings" w:hint="default"/>
      </w:rPr>
    </w:lvl>
    <w:lvl w:ilvl="6" w:tplc="0ABE59FA" w:tentative="1">
      <w:start w:val="1"/>
      <w:numFmt w:val="bullet"/>
      <w:lvlText w:val=""/>
      <w:lvlJc w:val="left"/>
      <w:pPr>
        <w:ind w:left="5040" w:hanging="360"/>
      </w:pPr>
      <w:rPr>
        <w:rFonts w:ascii="Symbol" w:hAnsi="Symbol" w:hint="default"/>
      </w:rPr>
    </w:lvl>
    <w:lvl w:ilvl="7" w:tplc="3A12249C" w:tentative="1">
      <w:start w:val="1"/>
      <w:numFmt w:val="bullet"/>
      <w:lvlText w:val="o"/>
      <w:lvlJc w:val="left"/>
      <w:pPr>
        <w:ind w:left="5760" w:hanging="360"/>
      </w:pPr>
      <w:rPr>
        <w:rFonts w:ascii="Courier New" w:hAnsi="Courier New" w:cs="Courier New" w:hint="default"/>
      </w:rPr>
    </w:lvl>
    <w:lvl w:ilvl="8" w:tplc="C2F60238" w:tentative="1">
      <w:start w:val="1"/>
      <w:numFmt w:val="bullet"/>
      <w:lvlText w:val=""/>
      <w:lvlJc w:val="left"/>
      <w:pPr>
        <w:ind w:left="6480" w:hanging="360"/>
      </w:pPr>
      <w:rPr>
        <w:rFonts w:ascii="Wingdings" w:hAnsi="Wingdings" w:hint="default"/>
      </w:rPr>
    </w:lvl>
  </w:abstractNum>
  <w:abstractNum w:abstractNumId="7" w15:restartNumberingAfterBreak="0">
    <w:nsid w:val="23215058"/>
    <w:multiLevelType w:val="hybridMultilevel"/>
    <w:tmpl w:val="1460ED62"/>
    <w:lvl w:ilvl="0" w:tplc="79729236">
      <w:start w:val="1"/>
      <w:numFmt w:val="decimal"/>
      <w:lvlText w:val="%1."/>
      <w:lvlJc w:val="left"/>
      <w:pPr>
        <w:ind w:left="360" w:hanging="360"/>
      </w:pPr>
      <w:rPr>
        <w:rFonts w:hint="default"/>
      </w:rPr>
    </w:lvl>
    <w:lvl w:ilvl="1" w:tplc="B150B8E0" w:tentative="1">
      <w:start w:val="1"/>
      <w:numFmt w:val="lowerLetter"/>
      <w:lvlText w:val="%2."/>
      <w:lvlJc w:val="left"/>
      <w:pPr>
        <w:ind w:left="1440" w:hanging="360"/>
      </w:pPr>
    </w:lvl>
    <w:lvl w:ilvl="2" w:tplc="1BF850BE" w:tentative="1">
      <w:start w:val="1"/>
      <w:numFmt w:val="lowerRoman"/>
      <w:lvlText w:val="%3."/>
      <w:lvlJc w:val="right"/>
      <w:pPr>
        <w:ind w:left="2160" w:hanging="180"/>
      </w:pPr>
    </w:lvl>
    <w:lvl w:ilvl="3" w:tplc="02164084" w:tentative="1">
      <w:start w:val="1"/>
      <w:numFmt w:val="decimal"/>
      <w:lvlText w:val="%4."/>
      <w:lvlJc w:val="left"/>
      <w:pPr>
        <w:ind w:left="2880" w:hanging="360"/>
      </w:pPr>
    </w:lvl>
    <w:lvl w:ilvl="4" w:tplc="64FC966E" w:tentative="1">
      <w:start w:val="1"/>
      <w:numFmt w:val="lowerLetter"/>
      <w:lvlText w:val="%5."/>
      <w:lvlJc w:val="left"/>
      <w:pPr>
        <w:ind w:left="3600" w:hanging="360"/>
      </w:pPr>
    </w:lvl>
    <w:lvl w:ilvl="5" w:tplc="60D68DEE" w:tentative="1">
      <w:start w:val="1"/>
      <w:numFmt w:val="lowerRoman"/>
      <w:lvlText w:val="%6."/>
      <w:lvlJc w:val="right"/>
      <w:pPr>
        <w:ind w:left="4320" w:hanging="180"/>
      </w:pPr>
    </w:lvl>
    <w:lvl w:ilvl="6" w:tplc="658657B4" w:tentative="1">
      <w:start w:val="1"/>
      <w:numFmt w:val="decimal"/>
      <w:lvlText w:val="%7."/>
      <w:lvlJc w:val="left"/>
      <w:pPr>
        <w:ind w:left="5040" w:hanging="360"/>
      </w:pPr>
    </w:lvl>
    <w:lvl w:ilvl="7" w:tplc="FF9CD1D2" w:tentative="1">
      <w:start w:val="1"/>
      <w:numFmt w:val="lowerLetter"/>
      <w:lvlText w:val="%8."/>
      <w:lvlJc w:val="left"/>
      <w:pPr>
        <w:ind w:left="5760" w:hanging="360"/>
      </w:pPr>
    </w:lvl>
    <w:lvl w:ilvl="8" w:tplc="E0744DA8" w:tentative="1">
      <w:start w:val="1"/>
      <w:numFmt w:val="lowerRoman"/>
      <w:lvlText w:val="%9."/>
      <w:lvlJc w:val="right"/>
      <w:pPr>
        <w:ind w:left="6480" w:hanging="180"/>
      </w:pPr>
    </w:lvl>
  </w:abstractNum>
  <w:abstractNum w:abstractNumId="8" w15:restartNumberingAfterBreak="0">
    <w:nsid w:val="2B9A0071"/>
    <w:multiLevelType w:val="hybridMultilevel"/>
    <w:tmpl w:val="277643D6"/>
    <w:lvl w:ilvl="0" w:tplc="384E8504">
      <w:start w:val="1"/>
      <w:numFmt w:val="decimal"/>
      <w:lvlText w:val="%1."/>
      <w:lvlJc w:val="left"/>
      <w:pPr>
        <w:ind w:left="720" w:hanging="360"/>
      </w:pPr>
    </w:lvl>
    <w:lvl w:ilvl="1" w:tplc="4C747FB2" w:tentative="1">
      <w:start w:val="1"/>
      <w:numFmt w:val="lowerLetter"/>
      <w:lvlText w:val="%2."/>
      <w:lvlJc w:val="left"/>
      <w:pPr>
        <w:ind w:left="1440" w:hanging="360"/>
      </w:pPr>
    </w:lvl>
    <w:lvl w:ilvl="2" w:tplc="5FBC1946" w:tentative="1">
      <w:start w:val="1"/>
      <w:numFmt w:val="lowerRoman"/>
      <w:lvlText w:val="%3."/>
      <w:lvlJc w:val="right"/>
      <w:pPr>
        <w:ind w:left="2160" w:hanging="180"/>
      </w:pPr>
    </w:lvl>
    <w:lvl w:ilvl="3" w:tplc="DC6222D2" w:tentative="1">
      <w:start w:val="1"/>
      <w:numFmt w:val="decimal"/>
      <w:lvlText w:val="%4."/>
      <w:lvlJc w:val="left"/>
      <w:pPr>
        <w:ind w:left="2880" w:hanging="360"/>
      </w:pPr>
    </w:lvl>
    <w:lvl w:ilvl="4" w:tplc="1496210A" w:tentative="1">
      <w:start w:val="1"/>
      <w:numFmt w:val="lowerLetter"/>
      <w:lvlText w:val="%5."/>
      <w:lvlJc w:val="left"/>
      <w:pPr>
        <w:ind w:left="3600" w:hanging="360"/>
      </w:pPr>
    </w:lvl>
    <w:lvl w:ilvl="5" w:tplc="05EA5F66" w:tentative="1">
      <w:start w:val="1"/>
      <w:numFmt w:val="lowerRoman"/>
      <w:lvlText w:val="%6."/>
      <w:lvlJc w:val="right"/>
      <w:pPr>
        <w:ind w:left="4320" w:hanging="180"/>
      </w:pPr>
    </w:lvl>
    <w:lvl w:ilvl="6" w:tplc="425E7336" w:tentative="1">
      <w:start w:val="1"/>
      <w:numFmt w:val="decimal"/>
      <w:lvlText w:val="%7."/>
      <w:lvlJc w:val="left"/>
      <w:pPr>
        <w:ind w:left="5040" w:hanging="360"/>
      </w:pPr>
    </w:lvl>
    <w:lvl w:ilvl="7" w:tplc="60565DBE" w:tentative="1">
      <w:start w:val="1"/>
      <w:numFmt w:val="lowerLetter"/>
      <w:lvlText w:val="%8."/>
      <w:lvlJc w:val="left"/>
      <w:pPr>
        <w:ind w:left="5760" w:hanging="360"/>
      </w:pPr>
    </w:lvl>
    <w:lvl w:ilvl="8" w:tplc="A3E639FC" w:tentative="1">
      <w:start w:val="1"/>
      <w:numFmt w:val="lowerRoman"/>
      <w:lvlText w:val="%9."/>
      <w:lvlJc w:val="right"/>
      <w:pPr>
        <w:ind w:left="6480" w:hanging="180"/>
      </w:pPr>
    </w:lvl>
  </w:abstractNum>
  <w:abstractNum w:abstractNumId="9" w15:restartNumberingAfterBreak="0">
    <w:nsid w:val="2DE90492"/>
    <w:multiLevelType w:val="hybridMultilevel"/>
    <w:tmpl w:val="E62CA5E6"/>
    <w:lvl w:ilvl="0" w:tplc="04090001">
      <w:start w:val="1"/>
      <w:numFmt w:val="bullet"/>
      <w:lvlText w:val=""/>
      <w:lvlJc w:val="left"/>
      <w:pPr>
        <w:ind w:left="720" w:hanging="360"/>
      </w:pPr>
      <w:rPr>
        <w:rFonts w:ascii="Symbol" w:hAnsi="Symbol" w:hint="default"/>
      </w:rPr>
    </w:lvl>
    <w:lvl w:ilvl="1" w:tplc="5E3A3444" w:tentative="1">
      <w:start w:val="1"/>
      <w:numFmt w:val="lowerLetter"/>
      <w:lvlText w:val="%2."/>
      <w:lvlJc w:val="left"/>
      <w:pPr>
        <w:ind w:left="1440" w:hanging="360"/>
      </w:pPr>
    </w:lvl>
    <w:lvl w:ilvl="2" w:tplc="704A4AC6" w:tentative="1">
      <w:start w:val="1"/>
      <w:numFmt w:val="lowerRoman"/>
      <w:lvlText w:val="%3."/>
      <w:lvlJc w:val="right"/>
      <w:pPr>
        <w:ind w:left="2160" w:hanging="180"/>
      </w:pPr>
    </w:lvl>
    <w:lvl w:ilvl="3" w:tplc="00701CFC" w:tentative="1">
      <w:start w:val="1"/>
      <w:numFmt w:val="decimal"/>
      <w:lvlText w:val="%4."/>
      <w:lvlJc w:val="left"/>
      <w:pPr>
        <w:ind w:left="2880" w:hanging="360"/>
      </w:pPr>
    </w:lvl>
    <w:lvl w:ilvl="4" w:tplc="4EE86A4C" w:tentative="1">
      <w:start w:val="1"/>
      <w:numFmt w:val="lowerLetter"/>
      <w:lvlText w:val="%5."/>
      <w:lvlJc w:val="left"/>
      <w:pPr>
        <w:ind w:left="3600" w:hanging="360"/>
      </w:pPr>
    </w:lvl>
    <w:lvl w:ilvl="5" w:tplc="5D48FC78" w:tentative="1">
      <w:start w:val="1"/>
      <w:numFmt w:val="lowerRoman"/>
      <w:lvlText w:val="%6."/>
      <w:lvlJc w:val="right"/>
      <w:pPr>
        <w:ind w:left="4320" w:hanging="180"/>
      </w:pPr>
    </w:lvl>
    <w:lvl w:ilvl="6" w:tplc="3526514A" w:tentative="1">
      <w:start w:val="1"/>
      <w:numFmt w:val="decimal"/>
      <w:lvlText w:val="%7."/>
      <w:lvlJc w:val="left"/>
      <w:pPr>
        <w:ind w:left="5040" w:hanging="360"/>
      </w:pPr>
    </w:lvl>
    <w:lvl w:ilvl="7" w:tplc="D5B88F24" w:tentative="1">
      <w:start w:val="1"/>
      <w:numFmt w:val="lowerLetter"/>
      <w:lvlText w:val="%8."/>
      <w:lvlJc w:val="left"/>
      <w:pPr>
        <w:ind w:left="5760" w:hanging="360"/>
      </w:pPr>
    </w:lvl>
    <w:lvl w:ilvl="8" w:tplc="C2304B16" w:tentative="1">
      <w:start w:val="1"/>
      <w:numFmt w:val="lowerRoman"/>
      <w:lvlText w:val="%9."/>
      <w:lvlJc w:val="right"/>
      <w:pPr>
        <w:ind w:left="6480" w:hanging="180"/>
      </w:pPr>
    </w:lvl>
  </w:abstractNum>
  <w:abstractNum w:abstractNumId="10" w15:restartNumberingAfterBreak="0">
    <w:nsid w:val="33255572"/>
    <w:multiLevelType w:val="hybridMultilevel"/>
    <w:tmpl w:val="8548BFF0"/>
    <w:lvl w:ilvl="0" w:tplc="5BF8CB06">
      <w:start w:val="1"/>
      <w:numFmt w:val="decimal"/>
      <w:pStyle w:val="ListParagraph"/>
      <w:lvlText w:val="%1."/>
      <w:lvlJc w:val="left"/>
      <w:pPr>
        <w:ind w:left="1080" w:hanging="720"/>
      </w:pPr>
      <w:rPr>
        <w:rFonts w:hint="default"/>
      </w:rPr>
    </w:lvl>
    <w:lvl w:ilvl="1" w:tplc="3DFA1C66" w:tentative="1">
      <w:start w:val="1"/>
      <w:numFmt w:val="lowerLetter"/>
      <w:lvlText w:val="%2."/>
      <w:lvlJc w:val="left"/>
      <w:pPr>
        <w:ind w:left="1440" w:hanging="360"/>
      </w:pPr>
    </w:lvl>
    <w:lvl w:ilvl="2" w:tplc="D3B42C90" w:tentative="1">
      <w:start w:val="1"/>
      <w:numFmt w:val="lowerRoman"/>
      <w:lvlText w:val="%3."/>
      <w:lvlJc w:val="right"/>
      <w:pPr>
        <w:ind w:left="2160" w:hanging="180"/>
      </w:pPr>
    </w:lvl>
    <w:lvl w:ilvl="3" w:tplc="ED9AEE58" w:tentative="1">
      <w:start w:val="1"/>
      <w:numFmt w:val="decimal"/>
      <w:lvlText w:val="%4."/>
      <w:lvlJc w:val="left"/>
      <w:pPr>
        <w:ind w:left="2880" w:hanging="360"/>
      </w:pPr>
    </w:lvl>
    <w:lvl w:ilvl="4" w:tplc="4674475A" w:tentative="1">
      <w:start w:val="1"/>
      <w:numFmt w:val="lowerLetter"/>
      <w:lvlText w:val="%5."/>
      <w:lvlJc w:val="left"/>
      <w:pPr>
        <w:ind w:left="3600" w:hanging="360"/>
      </w:pPr>
    </w:lvl>
    <w:lvl w:ilvl="5" w:tplc="DF3CA81E" w:tentative="1">
      <w:start w:val="1"/>
      <w:numFmt w:val="lowerRoman"/>
      <w:lvlText w:val="%6."/>
      <w:lvlJc w:val="right"/>
      <w:pPr>
        <w:ind w:left="4320" w:hanging="180"/>
      </w:pPr>
    </w:lvl>
    <w:lvl w:ilvl="6" w:tplc="36002220" w:tentative="1">
      <w:start w:val="1"/>
      <w:numFmt w:val="decimal"/>
      <w:lvlText w:val="%7."/>
      <w:lvlJc w:val="left"/>
      <w:pPr>
        <w:ind w:left="5040" w:hanging="360"/>
      </w:pPr>
    </w:lvl>
    <w:lvl w:ilvl="7" w:tplc="79D093B6" w:tentative="1">
      <w:start w:val="1"/>
      <w:numFmt w:val="lowerLetter"/>
      <w:lvlText w:val="%8."/>
      <w:lvlJc w:val="left"/>
      <w:pPr>
        <w:ind w:left="5760" w:hanging="360"/>
      </w:pPr>
    </w:lvl>
    <w:lvl w:ilvl="8" w:tplc="2AB0E796" w:tentative="1">
      <w:start w:val="1"/>
      <w:numFmt w:val="lowerRoman"/>
      <w:lvlText w:val="%9."/>
      <w:lvlJc w:val="right"/>
      <w:pPr>
        <w:ind w:left="6480" w:hanging="180"/>
      </w:pPr>
    </w:lvl>
  </w:abstractNum>
  <w:abstractNum w:abstractNumId="11" w15:restartNumberingAfterBreak="0">
    <w:nsid w:val="43CE798E"/>
    <w:multiLevelType w:val="hybridMultilevel"/>
    <w:tmpl w:val="C2223A9C"/>
    <w:lvl w:ilvl="0" w:tplc="3B0CA15A">
      <w:numFmt w:val="bullet"/>
      <w:lvlText w:val="-"/>
      <w:lvlJc w:val="left"/>
      <w:pPr>
        <w:ind w:left="720" w:hanging="360"/>
      </w:pPr>
      <w:rPr>
        <w:rFonts w:ascii="Aptos" w:eastAsiaTheme="minorHAnsi" w:hAnsi="Aptos" w:cstheme="minorBidi" w:hint="default"/>
      </w:rPr>
    </w:lvl>
    <w:lvl w:ilvl="1" w:tplc="9CE0BB08" w:tentative="1">
      <w:start w:val="1"/>
      <w:numFmt w:val="bullet"/>
      <w:lvlText w:val="o"/>
      <w:lvlJc w:val="left"/>
      <w:pPr>
        <w:ind w:left="1440" w:hanging="360"/>
      </w:pPr>
      <w:rPr>
        <w:rFonts w:ascii="Courier New" w:hAnsi="Courier New" w:cs="Courier New" w:hint="default"/>
      </w:rPr>
    </w:lvl>
    <w:lvl w:ilvl="2" w:tplc="9D8CAF84" w:tentative="1">
      <w:start w:val="1"/>
      <w:numFmt w:val="bullet"/>
      <w:lvlText w:val=""/>
      <w:lvlJc w:val="left"/>
      <w:pPr>
        <w:ind w:left="2160" w:hanging="360"/>
      </w:pPr>
      <w:rPr>
        <w:rFonts w:ascii="Wingdings" w:hAnsi="Wingdings" w:hint="default"/>
      </w:rPr>
    </w:lvl>
    <w:lvl w:ilvl="3" w:tplc="D4DEFE26" w:tentative="1">
      <w:start w:val="1"/>
      <w:numFmt w:val="bullet"/>
      <w:lvlText w:val=""/>
      <w:lvlJc w:val="left"/>
      <w:pPr>
        <w:ind w:left="2880" w:hanging="360"/>
      </w:pPr>
      <w:rPr>
        <w:rFonts w:ascii="Symbol" w:hAnsi="Symbol" w:hint="default"/>
      </w:rPr>
    </w:lvl>
    <w:lvl w:ilvl="4" w:tplc="BC6862CC" w:tentative="1">
      <w:start w:val="1"/>
      <w:numFmt w:val="bullet"/>
      <w:lvlText w:val="o"/>
      <w:lvlJc w:val="left"/>
      <w:pPr>
        <w:ind w:left="3600" w:hanging="360"/>
      </w:pPr>
      <w:rPr>
        <w:rFonts w:ascii="Courier New" w:hAnsi="Courier New" w:cs="Courier New" w:hint="default"/>
      </w:rPr>
    </w:lvl>
    <w:lvl w:ilvl="5" w:tplc="C3E478DC" w:tentative="1">
      <w:start w:val="1"/>
      <w:numFmt w:val="bullet"/>
      <w:lvlText w:val=""/>
      <w:lvlJc w:val="left"/>
      <w:pPr>
        <w:ind w:left="4320" w:hanging="360"/>
      </w:pPr>
      <w:rPr>
        <w:rFonts w:ascii="Wingdings" w:hAnsi="Wingdings" w:hint="default"/>
      </w:rPr>
    </w:lvl>
    <w:lvl w:ilvl="6" w:tplc="F87A0804" w:tentative="1">
      <w:start w:val="1"/>
      <w:numFmt w:val="bullet"/>
      <w:lvlText w:val=""/>
      <w:lvlJc w:val="left"/>
      <w:pPr>
        <w:ind w:left="5040" w:hanging="360"/>
      </w:pPr>
      <w:rPr>
        <w:rFonts w:ascii="Symbol" w:hAnsi="Symbol" w:hint="default"/>
      </w:rPr>
    </w:lvl>
    <w:lvl w:ilvl="7" w:tplc="00CCEE12" w:tentative="1">
      <w:start w:val="1"/>
      <w:numFmt w:val="bullet"/>
      <w:lvlText w:val="o"/>
      <w:lvlJc w:val="left"/>
      <w:pPr>
        <w:ind w:left="5760" w:hanging="360"/>
      </w:pPr>
      <w:rPr>
        <w:rFonts w:ascii="Courier New" w:hAnsi="Courier New" w:cs="Courier New" w:hint="default"/>
      </w:rPr>
    </w:lvl>
    <w:lvl w:ilvl="8" w:tplc="D5EEAB82" w:tentative="1">
      <w:start w:val="1"/>
      <w:numFmt w:val="bullet"/>
      <w:lvlText w:val=""/>
      <w:lvlJc w:val="left"/>
      <w:pPr>
        <w:ind w:left="6480" w:hanging="360"/>
      </w:pPr>
      <w:rPr>
        <w:rFonts w:ascii="Wingdings" w:hAnsi="Wingdings" w:hint="default"/>
      </w:rPr>
    </w:lvl>
  </w:abstractNum>
  <w:abstractNum w:abstractNumId="12" w15:restartNumberingAfterBreak="0">
    <w:nsid w:val="4C226DA2"/>
    <w:multiLevelType w:val="hybridMultilevel"/>
    <w:tmpl w:val="79D2FB8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E7A6637"/>
    <w:multiLevelType w:val="hybridMultilevel"/>
    <w:tmpl w:val="1834EA60"/>
    <w:lvl w:ilvl="0" w:tplc="87240A60">
      <w:start w:val="1"/>
      <w:numFmt w:val="bullet"/>
      <w:lvlText w:val="•"/>
      <w:lvlJc w:val="left"/>
      <w:pPr>
        <w:tabs>
          <w:tab w:val="num" w:pos="720"/>
        </w:tabs>
        <w:ind w:left="720" w:hanging="360"/>
      </w:pPr>
      <w:rPr>
        <w:rFonts w:ascii="Aptos" w:hAnsi="Aptos" w:hint="default"/>
      </w:rPr>
    </w:lvl>
    <w:lvl w:ilvl="1" w:tplc="772EAB9E" w:tentative="1">
      <w:start w:val="1"/>
      <w:numFmt w:val="bullet"/>
      <w:lvlText w:val="•"/>
      <w:lvlJc w:val="left"/>
      <w:pPr>
        <w:tabs>
          <w:tab w:val="num" w:pos="1440"/>
        </w:tabs>
        <w:ind w:left="1440" w:hanging="360"/>
      </w:pPr>
      <w:rPr>
        <w:rFonts w:ascii="Aptos" w:hAnsi="Aptos" w:hint="default"/>
      </w:rPr>
    </w:lvl>
    <w:lvl w:ilvl="2" w:tplc="7876BE60" w:tentative="1">
      <w:start w:val="1"/>
      <w:numFmt w:val="bullet"/>
      <w:lvlText w:val="•"/>
      <w:lvlJc w:val="left"/>
      <w:pPr>
        <w:tabs>
          <w:tab w:val="num" w:pos="2160"/>
        </w:tabs>
        <w:ind w:left="2160" w:hanging="360"/>
      </w:pPr>
      <w:rPr>
        <w:rFonts w:ascii="Aptos" w:hAnsi="Aptos" w:hint="default"/>
      </w:rPr>
    </w:lvl>
    <w:lvl w:ilvl="3" w:tplc="0F3A7190" w:tentative="1">
      <w:start w:val="1"/>
      <w:numFmt w:val="bullet"/>
      <w:lvlText w:val="•"/>
      <w:lvlJc w:val="left"/>
      <w:pPr>
        <w:tabs>
          <w:tab w:val="num" w:pos="2880"/>
        </w:tabs>
        <w:ind w:left="2880" w:hanging="360"/>
      </w:pPr>
      <w:rPr>
        <w:rFonts w:ascii="Aptos" w:hAnsi="Aptos" w:hint="default"/>
      </w:rPr>
    </w:lvl>
    <w:lvl w:ilvl="4" w:tplc="1976201A" w:tentative="1">
      <w:start w:val="1"/>
      <w:numFmt w:val="bullet"/>
      <w:lvlText w:val="•"/>
      <w:lvlJc w:val="left"/>
      <w:pPr>
        <w:tabs>
          <w:tab w:val="num" w:pos="3600"/>
        </w:tabs>
        <w:ind w:left="3600" w:hanging="360"/>
      </w:pPr>
      <w:rPr>
        <w:rFonts w:ascii="Aptos" w:hAnsi="Aptos" w:hint="default"/>
      </w:rPr>
    </w:lvl>
    <w:lvl w:ilvl="5" w:tplc="FA1CA38C" w:tentative="1">
      <w:start w:val="1"/>
      <w:numFmt w:val="bullet"/>
      <w:lvlText w:val="•"/>
      <w:lvlJc w:val="left"/>
      <w:pPr>
        <w:tabs>
          <w:tab w:val="num" w:pos="4320"/>
        </w:tabs>
        <w:ind w:left="4320" w:hanging="360"/>
      </w:pPr>
      <w:rPr>
        <w:rFonts w:ascii="Aptos" w:hAnsi="Aptos" w:hint="default"/>
      </w:rPr>
    </w:lvl>
    <w:lvl w:ilvl="6" w:tplc="A91AC296" w:tentative="1">
      <w:start w:val="1"/>
      <w:numFmt w:val="bullet"/>
      <w:lvlText w:val="•"/>
      <w:lvlJc w:val="left"/>
      <w:pPr>
        <w:tabs>
          <w:tab w:val="num" w:pos="5040"/>
        </w:tabs>
        <w:ind w:left="5040" w:hanging="360"/>
      </w:pPr>
      <w:rPr>
        <w:rFonts w:ascii="Aptos" w:hAnsi="Aptos" w:hint="default"/>
      </w:rPr>
    </w:lvl>
    <w:lvl w:ilvl="7" w:tplc="664CF8BE" w:tentative="1">
      <w:start w:val="1"/>
      <w:numFmt w:val="bullet"/>
      <w:lvlText w:val="•"/>
      <w:lvlJc w:val="left"/>
      <w:pPr>
        <w:tabs>
          <w:tab w:val="num" w:pos="5760"/>
        </w:tabs>
        <w:ind w:left="5760" w:hanging="360"/>
      </w:pPr>
      <w:rPr>
        <w:rFonts w:ascii="Aptos" w:hAnsi="Aptos" w:hint="default"/>
      </w:rPr>
    </w:lvl>
    <w:lvl w:ilvl="8" w:tplc="38F43DB8" w:tentative="1">
      <w:start w:val="1"/>
      <w:numFmt w:val="bullet"/>
      <w:lvlText w:val="•"/>
      <w:lvlJc w:val="left"/>
      <w:pPr>
        <w:tabs>
          <w:tab w:val="num" w:pos="6480"/>
        </w:tabs>
        <w:ind w:left="6480" w:hanging="360"/>
      </w:pPr>
      <w:rPr>
        <w:rFonts w:ascii="Aptos" w:hAnsi="Aptos" w:hint="default"/>
      </w:rPr>
    </w:lvl>
  </w:abstractNum>
  <w:abstractNum w:abstractNumId="14" w15:restartNumberingAfterBreak="0">
    <w:nsid w:val="4F38667B"/>
    <w:multiLevelType w:val="hybridMultilevel"/>
    <w:tmpl w:val="7D80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717202"/>
    <w:multiLevelType w:val="hybridMultilevel"/>
    <w:tmpl w:val="B03CA03E"/>
    <w:lvl w:ilvl="0" w:tplc="F9EEA09C">
      <w:start w:val="1"/>
      <w:numFmt w:val="decimal"/>
      <w:lvlText w:val="%1."/>
      <w:lvlJc w:val="left"/>
      <w:pPr>
        <w:ind w:left="720" w:hanging="360"/>
      </w:pPr>
      <w:rPr>
        <w:rFonts w:hint="default"/>
      </w:rPr>
    </w:lvl>
    <w:lvl w:ilvl="1" w:tplc="0C800F22" w:tentative="1">
      <w:start w:val="1"/>
      <w:numFmt w:val="lowerLetter"/>
      <w:lvlText w:val="%2."/>
      <w:lvlJc w:val="left"/>
      <w:pPr>
        <w:ind w:left="1440" w:hanging="360"/>
      </w:pPr>
    </w:lvl>
    <w:lvl w:ilvl="2" w:tplc="D49A8F6A" w:tentative="1">
      <w:start w:val="1"/>
      <w:numFmt w:val="lowerRoman"/>
      <w:lvlText w:val="%3."/>
      <w:lvlJc w:val="right"/>
      <w:pPr>
        <w:ind w:left="2160" w:hanging="180"/>
      </w:pPr>
    </w:lvl>
    <w:lvl w:ilvl="3" w:tplc="69CC4A82" w:tentative="1">
      <w:start w:val="1"/>
      <w:numFmt w:val="decimal"/>
      <w:lvlText w:val="%4."/>
      <w:lvlJc w:val="left"/>
      <w:pPr>
        <w:ind w:left="2880" w:hanging="360"/>
      </w:pPr>
    </w:lvl>
    <w:lvl w:ilvl="4" w:tplc="ECA89D1E" w:tentative="1">
      <w:start w:val="1"/>
      <w:numFmt w:val="lowerLetter"/>
      <w:lvlText w:val="%5."/>
      <w:lvlJc w:val="left"/>
      <w:pPr>
        <w:ind w:left="3600" w:hanging="360"/>
      </w:pPr>
    </w:lvl>
    <w:lvl w:ilvl="5" w:tplc="F766B0CE" w:tentative="1">
      <w:start w:val="1"/>
      <w:numFmt w:val="lowerRoman"/>
      <w:lvlText w:val="%6."/>
      <w:lvlJc w:val="right"/>
      <w:pPr>
        <w:ind w:left="4320" w:hanging="180"/>
      </w:pPr>
    </w:lvl>
    <w:lvl w:ilvl="6" w:tplc="7C50A7A8" w:tentative="1">
      <w:start w:val="1"/>
      <w:numFmt w:val="decimal"/>
      <w:lvlText w:val="%7."/>
      <w:lvlJc w:val="left"/>
      <w:pPr>
        <w:ind w:left="5040" w:hanging="360"/>
      </w:pPr>
    </w:lvl>
    <w:lvl w:ilvl="7" w:tplc="5EF8E4B4" w:tentative="1">
      <w:start w:val="1"/>
      <w:numFmt w:val="lowerLetter"/>
      <w:lvlText w:val="%8."/>
      <w:lvlJc w:val="left"/>
      <w:pPr>
        <w:ind w:left="5760" w:hanging="360"/>
      </w:pPr>
    </w:lvl>
    <w:lvl w:ilvl="8" w:tplc="6C128610" w:tentative="1">
      <w:start w:val="1"/>
      <w:numFmt w:val="lowerRoman"/>
      <w:lvlText w:val="%9."/>
      <w:lvlJc w:val="right"/>
      <w:pPr>
        <w:ind w:left="6480" w:hanging="180"/>
      </w:pPr>
    </w:lvl>
  </w:abstractNum>
  <w:abstractNum w:abstractNumId="16" w15:restartNumberingAfterBreak="0">
    <w:nsid w:val="5E745BE5"/>
    <w:multiLevelType w:val="hybridMultilevel"/>
    <w:tmpl w:val="0B90D6AE"/>
    <w:lvl w:ilvl="0" w:tplc="9DFA07C8">
      <w:start w:val="1"/>
      <w:numFmt w:val="bullet"/>
      <w:lvlText w:val=""/>
      <w:lvlJc w:val="left"/>
      <w:pPr>
        <w:ind w:left="720" w:hanging="360"/>
      </w:pPr>
      <w:rPr>
        <w:rFonts w:ascii="Symbol" w:hAnsi="Symbol" w:hint="default"/>
      </w:rPr>
    </w:lvl>
    <w:lvl w:ilvl="1" w:tplc="E626E9C2" w:tentative="1">
      <w:start w:val="1"/>
      <w:numFmt w:val="bullet"/>
      <w:lvlText w:val="o"/>
      <w:lvlJc w:val="left"/>
      <w:pPr>
        <w:ind w:left="1440" w:hanging="360"/>
      </w:pPr>
      <w:rPr>
        <w:rFonts w:ascii="Courier New" w:hAnsi="Courier New" w:cs="Courier New" w:hint="default"/>
      </w:rPr>
    </w:lvl>
    <w:lvl w:ilvl="2" w:tplc="7F6E2F0A" w:tentative="1">
      <w:start w:val="1"/>
      <w:numFmt w:val="bullet"/>
      <w:lvlText w:val=""/>
      <w:lvlJc w:val="left"/>
      <w:pPr>
        <w:ind w:left="2160" w:hanging="360"/>
      </w:pPr>
      <w:rPr>
        <w:rFonts w:ascii="Wingdings" w:hAnsi="Wingdings" w:hint="default"/>
      </w:rPr>
    </w:lvl>
    <w:lvl w:ilvl="3" w:tplc="EDBE3A9A" w:tentative="1">
      <w:start w:val="1"/>
      <w:numFmt w:val="bullet"/>
      <w:lvlText w:val=""/>
      <w:lvlJc w:val="left"/>
      <w:pPr>
        <w:ind w:left="2880" w:hanging="360"/>
      </w:pPr>
      <w:rPr>
        <w:rFonts w:ascii="Symbol" w:hAnsi="Symbol" w:hint="default"/>
      </w:rPr>
    </w:lvl>
    <w:lvl w:ilvl="4" w:tplc="8BD28F82" w:tentative="1">
      <w:start w:val="1"/>
      <w:numFmt w:val="bullet"/>
      <w:lvlText w:val="o"/>
      <w:lvlJc w:val="left"/>
      <w:pPr>
        <w:ind w:left="3600" w:hanging="360"/>
      </w:pPr>
      <w:rPr>
        <w:rFonts w:ascii="Courier New" w:hAnsi="Courier New" w:cs="Courier New" w:hint="default"/>
      </w:rPr>
    </w:lvl>
    <w:lvl w:ilvl="5" w:tplc="FFF04F02" w:tentative="1">
      <w:start w:val="1"/>
      <w:numFmt w:val="bullet"/>
      <w:lvlText w:val=""/>
      <w:lvlJc w:val="left"/>
      <w:pPr>
        <w:ind w:left="4320" w:hanging="360"/>
      </w:pPr>
      <w:rPr>
        <w:rFonts w:ascii="Wingdings" w:hAnsi="Wingdings" w:hint="default"/>
      </w:rPr>
    </w:lvl>
    <w:lvl w:ilvl="6" w:tplc="6EAEA43A" w:tentative="1">
      <w:start w:val="1"/>
      <w:numFmt w:val="bullet"/>
      <w:lvlText w:val=""/>
      <w:lvlJc w:val="left"/>
      <w:pPr>
        <w:ind w:left="5040" w:hanging="360"/>
      </w:pPr>
      <w:rPr>
        <w:rFonts w:ascii="Symbol" w:hAnsi="Symbol" w:hint="default"/>
      </w:rPr>
    </w:lvl>
    <w:lvl w:ilvl="7" w:tplc="B69CEBF2" w:tentative="1">
      <w:start w:val="1"/>
      <w:numFmt w:val="bullet"/>
      <w:lvlText w:val="o"/>
      <w:lvlJc w:val="left"/>
      <w:pPr>
        <w:ind w:left="5760" w:hanging="360"/>
      </w:pPr>
      <w:rPr>
        <w:rFonts w:ascii="Courier New" w:hAnsi="Courier New" w:cs="Courier New" w:hint="default"/>
      </w:rPr>
    </w:lvl>
    <w:lvl w:ilvl="8" w:tplc="38DCA116" w:tentative="1">
      <w:start w:val="1"/>
      <w:numFmt w:val="bullet"/>
      <w:lvlText w:val=""/>
      <w:lvlJc w:val="left"/>
      <w:pPr>
        <w:ind w:left="6480" w:hanging="360"/>
      </w:pPr>
      <w:rPr>
        <w:rFonts w:ascii="Wingdings" w:hAnsi="Wingdings" w:hint="default"/>
      </w:rPr>
    </w:lvl>
  </w:abstractNum>
  <w:abstractNum w:abstractNumId="17" w15:restartNumberingAfterBreak="0">
    <w:nsid w:val="77ED1AF3"/>
    <w:multiLevelType w:val="hybridMultilevel"/>
    <w:tmpl w:val="1FC2D69C"/>
    <w:lvl w:ilvl="0" w:tplc="2F6A5478">
      <w:start w:val="1"/>
      <w:numFmt w:val="decimal"/>
      <w:lvlText w:val="%1."/>
      <w:lvlJc w:val="left"/>
      <w:pPr>
        <w:ind w:left="720" w:hanging="360"/>
      </w:pPr>
      <w:rPr>
        <w:rFonts w:hint="default"/>
      </w:rPr>
    </w:lvl>
    <w:lvl w:ilvl="1" w:tplc="07744ED4" w:tentative="1">
      <w:start w:val="1"/>
      <w:numFmt w:val="lowerLetter"/>
      <w:lvlText w:val="%2."/>
      <w:lvlJc w:val="left"/>
      <w:pPr>
        <w:ind w:left="1440" w:hanging="360"/>
      </w:pPr>
    </w:lvl>
    <w:lvl w:ilvl="2" w:tplc="74E4D01E" w:tentative="1">
      <w:start w:val="1"/>
      <w:numFmt w:val="lowerRoman"/>
      <w:lvlText w:val="%3."/>
      <w:lvlJc w:val="right"/>
      <w:pPr>
        <w:ind w:left="2160" w:hanging="180"/>
      </w:pPr>
    </w:lvl>
    <w:lvl w:ilvl="3" w:tplc="C87A6D7A" w:tentative="1">
      <w:start w:val="1"/>
      <w:numFmt w:val="decimal"/>
      <w:lvlText w:val="%4."/>
      <w:lvlJc w:val="left"/>
      <w:pPr>
        <w:ind w:left="2880" w:hanging="360"/>
      </w:pPr>
    </w:lvl>
    <w:lvl w:ilvl="4" w:tplc="6CE62428" w:tentative="1">
      <w:start w:val="1"/>
      <w:numFmt w:val="lowerLetter"/>
      <w:lvlText w:val="%5."/>
      <w:lvlJc w:val="left"/>
      <w:pPr>
        <w:ind w:left="3600" w:hanging="360"/>
      </w:pPr>
    </w:lvl>
    <w:lvl w:ilvl="5" w:tplc="868C15FA" w:tentative="1">
      <w:start w:val="1"/>
      <w:numFmt w:val="lowerRoman"/>
      <w:lvlText w:val="%6."/>
      <w:lvlJc w:val="right"/>
      <w:pPr>
        <w:ind w:left="4320" w:hanging="180"/>
      </w:pPr>
    </w:lvl>
    <w:lvl w:ilvl="6" w:tplc="6020412E" w:tentative="1">
      <w:start w:val="1"/>
      <w:numFmt w:val="decimal"/>
      <w:lvlText w:val="%7."/>
      <w:lvlJc w:val="left"/>
      <w:pPr>
        <w:ind w:left="5040" w:hanging="360"/>
      </w:pPr>
    </w:lvl>
    <w:lvl w:ilvl="7" w:tplc="062C404E" w:tentative="1">
      <w:start w:val="1"/>
      <w:numFmt w:val="lowerLetter"/>
      <w:lvlText w:val="%8."/>
      <w:lvlJc w:val="left"/>
      <w:pPr>
        <w:ind w:left="5760" w:hanging="360"/>
      </w:pPr>
    </w:lvl>
    <w:lvl w:ilvl="8" w:tplc="840AFF5A" w:tentative="1">
      <w:start w:val="1"/>
      <w:numFmt w:val="lowerRoman"/>
      <w:lvlText w:val="%9."/>
      <w:lvlJc w:val="right"/>
      <w:pPr>
        <w:ind w:left="6480" w:hanging="180"/>
      </w:pPr>
    </w:lvl>
  </w:abstractNum>
  <w:num w:numId="1" w16cid:durableId="229508311">
    <w:abstractNumId w:val="3"/>
  </w:num>
  <w:num w:numId="2" w16cid:durableId="964315068">
    <w:abstractNumId w:val="10"/>
  </w:num>
  <w:num w:numId="3" w16cid:durableId="1185485354">
    <w:abstractNumId w:val="0"/>
  </w:num>
  <w:num w:numId="4" w16cid:durableId="629172065">
    <w:abstractNumId w:val="5"/>
  </w:num>
  <w:num w:numId="5" w16cid:durableId="38017468">
    <w:abstractNumId w:val="1"/>
  </w:num>
  <w:num w:numId="6" w16cid:durableId="1963489787">
    <w:abstractNumId w:val="6"/>
  </w:num>
  <w:num w:numId="7" w16cid:durableId="274678025">
    <w:abstractNumId w:val="7"/>
  </w:num>
  <w:num w:numId="8" w16cid:durableId="1031416322">
    <w:abstractNumId w:val="16"/>
  </w:num>
  <w:num w:numId="9" w16cid:durableId="650016814">
    <w:abstractNumId w:val="8"/>
  </w:num>
  <w:num w:numId="10" w16cid:durableId="422654806">
    <w:abstractNumId w:val="17"/>
  </w:num>
  <w:num w:numId="11" w16cid:durableId="1810127025">
    <w:abstractNumId w:val="15"/>
  </w:num>
  <w:num w:numId="12" w16cid:durableId="2135326000">
    <w:abstractNumId w:val="2"/>
  </w:num>
  <w:num w:numId="13" w16cid:durableId="1797332055">
    <w:abstractNumId w:val="9"/>
  </w:num>
  <w:num w:numId="14" w16cid:durableId="687024854">
    <w:abstractNumId w:val="13"/>
  </w:num>
  <w:num w:numId="15" w16cid:durableId="2041936329">
    <w:abstractNumId w:val="11"/>
  </w:num>
  <w:num w:numId="16" w16cid:durableId="45763048">
    <w:abstractNumId w:val="4"/>
  </w:num>
  <w:num w:numId="17" w16cid:durableId="550730748">
    <w:abstractNumId w:val="12"/>
  </w:num>
  <w:num w:numId="18" w16cid:durableId="79626495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2" w:cryptSpinCount="100000" w:hash="IaFy3rpkJk8PN93FeV/36UlKX5vijIcmK3ZF9XNWkAk=" w:salt="xHygv1p8Qq9B1zq0rQ9wc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92"/>
    <w:rsid w:val="00003251"/>
    <w:rsid w:val="00011586"/>
    <w:rsid w:val="00011EEB"/>
    <w:rsid w:val="000128EC"/>
    <w:rsid w:val="00012C9F"/>
    <w:rsid w:val="00014054"/>
    <w:rsid w:val="000146CC"/>
    <w:rsid w:val="00014C79"/>
    <w:rsid w:val="00020D27"/>
    <w:rsid w:val="00024C69"/>
    <w:rsid w:val="00026279"/>
    <w:rsid w:val="00027D2B"/>
    <w:rsid w:val="00034F8F"/>
    <w:rsid w:val="00035CB3"/>
    <w:rsid w:val="00036A6B"/>
    <w:rsid w:val="000410FE"/>
    <w:rsid w:val="000555B0"/>
    <w:rsid w:val="00055E9E"/>
    <w:rsid w:val="000576EF"/>
    <w:rsid w:val="000578E1"/>
    <w:rsid w:val="000634E6"/>
    <w:rsid w:val="000638EC"/>
    <w:rsid w:val="000662C2"/>
    <w:rsid w:val="00067899"/>
    <w:rsid w:val="00067D59"/>
    <w:rsid w:val="00070C43"/>
    <w:rsid w:val="00072A78"/>
    <w:rsid w:val="00076506"/>
    <w:rsid w:val="00077230"/>
    <w:rsid w:val="0008105B"/>
    <w:rsid w:val="000825A8"/>
    <w:rsid w:val="00082822"/>
    <w:rsid w:val="0008385F"/>
    <w:rsid w:val="00085A5D"/>
    <w:rsid w:val="000861DB"/>
    <w:rsid w:val="00093B25"/>
    <w:rsid w:val="00093EBD"/>
    <w:rsid w:val="00097704"/>
    <w:rsid w:val="000A002D"/>
    <w:rsid w:val="000A4D7D"/>
    <w:rsid w:val="000A6C9A"/>
    <w:rsid w:val="000C03CD"/>
    <w:rsid w:val="000C0F87"/>
    <w:rsid w:val="000C141F"/>
    <w:rsid w:val="000C1882"/>
    <w:rsid w:val="000C6B4D"/>
    <w:rsid w:val="000C6F9D"/>
    <w:rsid w:val="000D1312"/>
    <w:rsid w:val="000D1720"/>
    <w:rsid w:val="000D3C8C"/>
    <w:rsid w:val="000D51BB"/>
    <w:rsid w:val="000D6BCD"/>
    <w:rsid w:val="000E06BA"/>
    <w:rsid w:val="000E1EEF"/>
    <w:rsid w:val="000E5405"/>
    <w:rsid w:val="000F10D2"/>
    <w:rsid w:val="000F4640"/>
    <w:rsid w:val="00100744"/>
    <w:rsid w:val="00101F6E"/>
    <w:rsid w:val="00102B40"/>
    <w:rsid w:val="00102F0F"/>
    <w:rsid w:val="001030DF"/>
    <w:rsid w:val="00106736"/>
    <w:rsid w:val="0011347E"/>
    <w:rsid w:val="00115FC8"/>
    <w:rsid w:val="001161C5"/>
    <w:rsid w:val="001221CE"/>
    <w:rsid w:val="00122AEB"/>
    <w:rsid w:val="00123727"/>
    <w:rsid w:val="001306DC"/>
    <w:rsid w:val="00131105"/>
    <w:rsid w:val="0013141C"/>
    <w:rsid w:val="00135D40"/>
    <w:rsid w:val="00137D02"/>
    <w:rsid w:val="001402DB"/>
    <w:rsid w:val="0014125F"/>
    <w:rsid w:val="00141B6B"/>
    <w:rsid w:val="00151545"/>
    <w:rsid w:val="0015661E"/>
    <w:rsid w:val="0015729C"/>
    <w:rsid w:val="00160493"/>
    <w:rsid w:val="001647E9"/>
    <w:rsid w:val="00164A85"/>
    <w:rsid w:val="00164AD2"/>
    <w:rsid w:val="00165AA9"/>
    <w:rsid w:val="00170697"/>
    <w:rsid w:val="00175B6B"/>
    <w:rsid w:val="00181401"/>
    <w:rsid w:val="00182DDD"/>
    <w:rsid w:val="001915B2"/>
    <w:rsid w:val="00196568"/>
    <w:rsid w:val="001970BD"/>
    <w:rsid w:val="00197EB3"/>
    <w:rsid w:val="001A0508"/>
    <w:rsid w:val="001A243E"/>
    <w:rsid w:val="001A38C5"/>
    <w:rsid w:val="001A65B7"/>
    <w:rsid w:val="001B00C6"/>
    <w:rsid w:val="001B0DDB"/>
    <w:rsid w:val="001B1468"/>
    <w:rsid w:val="001B1751"/>
    <w:rsid w:val="001B2F02"/>
    <w:rsid w:val="001B3623"/>
    <w:rsid w:val="001B4B86"/>
    <w:rsid w:val="001C57B4"/>
    <w:rsid w:val="001E1A13"/>
    <w:rsid w:val="001E3877"/>
    <w:rsid w:val="001E3F1E"/>
    <w:rsid w:val="001E4C4D"/>
    <w:rsid w:val="001E5FB6"/>
    <w:rsid w:val="001F09C8"/>
    <w:rsid w:val="001F1147"/>
    <w:rsid w:val="001F48E4"/>
    <w:rsid w:val="001F6388"/>
    <w:rsid w:val="001F7C1B"/>
    <w:rsid w:val="001F7F57"/>
    <w:rsid w:val="0020242D"/>
    <w:rsid w:val="002026B3"/>
    <w:rsid w:val="00202DD2"/>
    <w:rsid w:val="00202EE2"/>
    <w:rsid w:val="002032B0"/>
    <w:rsid w:val="002061B8"/>
    <w:rsid w:val="00210E98"/>
    <w:rsid w:val="00212064"/>
    <w:rsid w:val="0021416F"/>
    <w:rsid w:val="00216C51"/>
    <w:rsid w:val="002176A6"/>
    <w:rsid w:val="0022183B"/>
    <w:rsid w:val="002231A9"/>
    <w:rsid w:val="002244BA"/>
    <w:rsid w:val="00224EFB"/>
    <w:rsid w:val="00231121"/>
    <w:rsid w:val="002317E7"/>
    <w:rsid w:val="002324F3"/>
    <w:rsid w:val="00234758"/>
    <w:rsid w:val="00236F7A"/>
    <w:rsid w:val="00240982"/>
    <w:rsid w:val="00241184"/>
    <w:rsid w:val="002433A2"/>
    <w:rsid w:val="002452B1"/>
    <w:rsid w:val="00245415"/>
    <w:rsid w:val="002460A9"/>
    <w:rsid w:val="00250683"/>
    <w:rsid w:val="00252D90"/>
    <w:rsid w:val="002605AA"/>
    <w:rsid w:val="002616DC"/>
    <w:rsid w:val="00261722"/>
    <w:rsid w:val="00261FB5"/>
    <w:rsid w:val="00262EFF"/>
    <w:rsid w:val="002632DB"/>
    <w:rsid w:val="00264379"/>
    <w:rsid w:val="00264469"/>
    <w:rsid w:val="0026548C"/>
    <w:rsid w:val="00267B68"/>
    <w:rsid w:val="0027706A"/>
    <w:rsid w:val="002771CF"/>
    <w:rsid w:val="00283990"/>
    <w:rsid w:val="002902DC"/>
    <w:rsid w:val="00290A3E"/>
    <w:rsid w:val="00291052"/>
    <w:rsid w:val="002918FB"/>
    <w:rsid w:val="0029289D"/>
    <w:rsid w:val="002951CF"/>
    <w:rsid w:val="002A2A61"/>
    <w:rsid w:val="002A4781"/>
    <w:rsid w:val="002A6475"/>
    <w:rsid w:val="002B0E83"/>
    <w:rsid w:val="002B0F50"/>
    <w:rsid w:val="002B33A8"/>
    <w:rsid w:val="002B5790"/>
    <w:rsid w:val="002B6D2A"/>
    <w:rsid w:val="002C0742"/>
    <w:rsid w:val="002C1E42"/>
    <w:rsid w:val="002C377F"/>
    <w:rsid w:val="002C60B0"/>
    <w:rsid w:val="002C6D9C"/>
    <w:rsid w:val="002C7832"/>
    <w:rsid w:val="002D0751"/>
    <w:rsid w:val="002D15E7"/>
    <w:rsid w:val="002D33E7"/>
    <w:rsid w:val="002D67AD"/>
    <w:rsid w:val="002D6ECE"/>
    <w:rsid w:val="002E17C3"/>
    <w:rsid w:val="002E2010"/>
    <w:rsid w:val="002F1544"/>
    <w:rsid w:val="002F35BA"/>
    <w:rsid w:val="002F5813"/>
    <w:rsid w:val="002F5E9C"/>
    <w:rsid w:val="002F6609"/>
    <w:rsid w:val="00310D6C"/>
    <w:rsid w:val="0031366F"/>
    <w:rsid w:val="0032101F"/>
    <w:rsid w:val="00322209"/>
    <w:rsid w:val="0032335F"/>
    <w:rsid w:val="00323541"/>
    <w:rsid w:val="00325B88"/>
    <w:rsid w:val="003276A6"/>
    <w:rsid w:val="00332065"/>
    <w:rsid w:val="00332B64"/>
    <w:rsid w:val="00333AC0"/>
    <w:rsid w:val="0033426F"/>
    <w:rsid w:val="00336B34"/>
    <w:rsid w:val="0034016D"/>
    <w:rsid w:val="00340849"/>
    <w:rsid w:val="00341A3B"/>
    <w:rsid w:val="0034275C"/>
    <w:rsid w:val="00342FEB"/>
    <w:rsid w:val="00344381"/>
    <w:rsid w:val="00347320"/>
    <w:rsid w:val="003474B0"/>
    <w:rsid w:val="00347FD9"/>
    <w:rsid w:val="00350CF4"/>
    <w:rsid w:val="00350FBE"/>
    <w:rsid w:val="003512AC"/>
    <w:rsid w:val="003524C6"/>
    <w:rsid w:val="0035321F"/>
    <w:rsid w:val="003541F4"/>
    <w:rsid w:val="00357ED1"/>
    <w:rsid w:val="0036041F"/>
    <w:rsid w:val="0036042B"/>
    <w:rsid w:val="003643A2"/>
    <w:rsid w:val="0037008A"/>
    <w:rsid w:val="00370835"/>
    <w:rsid w:val="003719EC"/>
    <w:rsid w:val="0037699E"/>
    <w:rsid w:val="0038076A"/>
    <w:rsid w:val="00381686"/>
    <w:rsid w:val="00387AAE"/>
    <w:rsid w:val="0039099C"/>
    <w:rsid w:val="00394E81"/>
    <w:rsid w:val="00396725"/>
    <w:rsid w:val="003A1BFE"/>
    <w:rsid w:val="003A2F26"/>
    <w:rsid w:val="003A49DA"/>
    <w:rsid w:val="003A5F20"/>
    <w:rsid w:val="003B5177"/>
    <w:rsid w:val="003B67E9"/>
    <w:rsid w:val="003C13EC"/>
    <w:rsid w:val="003C2258"/>
    <w:rsid w:val="003C5236"/>
    <w:rsid w:val="003C5F94"/>
    <w:rsid w:val="003C72E2"/>
    <w:rsid w:val="003C7D75"/>
    <w:rsid w:val="003D1679"/>
    <w:rsid w:val="003D2075"/>
    <w:rsid w:val="003D31AE"/>
    <w:rsid w:val="003D3D09"/>
    <w:rsid w:val="003D4165"/>
    <w:rsid w:val="003D4451"/>
    <w:rsid w:val="003D616D"/>
    <w:rsid w:val="003E52D4"/>
    <w:rsid w:val="003E6C7A"/>
    <w:rsid w:val="003F2AA3"/>
    <w:rsid w:val="003F4688"/>
    <w:rsid w:val="003F46F9"/>
    <w:rsid w:val="003F5FC8"/>
    <w:rsid w:val="003F79F2"/>
    <w:rsid w:val="00400537"/>
    <w:rsid w:val="00404761"/>
    <w:rsid w:val="004066D5"/>
    <w:rsid w:val="0041124E"/>
    <w:rsid w:val="00412D73"/>
    <w:rsid w:val="00413316"/>
    <w:rsid w:val="004137B4"/>
    <w:rsid w:val="0041561B"/>
    <w:rsid w:val="00415C17"/>
    <w:rsid w:val="0042177E"/>
    <w:rsid w:val="00421890"/>
    <w:rsid w:val="00425460"/>
    <w:rsid w:val="00425955"/>
    <w:rsid w:val="0042597C"/>
    <w:rsid w:val="00431993"/>
    <w:rsid w:val="00431C07"/>
    <w:rsid w:val="00432091"/>
    <w:rsid w:val="00432DAE"/>
    <w:rsid w:val="00432F4F"/>
    <w:rsid w:val="004332D3"/>
    <w:rsid w:val="004333F3"/>
    <w:rsid w:val="004407DD"/>
    <w:rsid w:val="00442F96"/>
    <w:rsid w:val="004447D4"/>
    <w:rsid w:val="004531FF"/>
    <w:rsid w:val="004534FB"/>
    <w:rsid w:val="004540B7"/>
    <w:rsid w:val="004548C6"/>
    <w:rsid w:val="00454DED"/>
    <w:rsid w:val="00454E1B"/>
    <w:rsid w:val="004566B9"/>
    <w:rsid w:val="00456B7D"/>
    <w:rsid w:val="004628C6"/>
    <w:rsid w:val="00462A15"/>
    <w:rsid w:val="004654A4"/>
    <w:rsid w:val="0046666C"/>
    <w:rsid w:val="00471D66"/>
    <w:rsid w:val="00480B35"/>
    <w:rsid w:val="00480B84"/>
    <w:rsid w:val="00482AC7"/>
    <w:rsid w:val="00482DF5"/>
    <w:rsid w:val="00485361"/>
    <w:rsid w:val="004861F7"/>
    <w:rsid w:val="00486D23"/>
    <w:rsid w:val="00486E4F"/>
    <w:rsid w:val="00487AB6"/>
    <w:rsid w:val="004908DA"/>
    <w:rsid w:val="0049304D"/>
    <w:rsid w:val="00493119"/>
    <w:rsid w:val="00496874"/>
    <w:rsid w:val="004976DD"/>
    <w:rsid w:val="00497811"/>
    <w:rsid w:val="004A0F8E"/>
    <w:rsid w:val="004A1F72"/>
    <w:rsid w:val="004A3531"/>
    <w:rsid w:val="004A6F44"/>
    <w:rsid w:val="004B06A0"/>
    <w:rsid w:val="004B06C0"/>
    <w:rsid w:val="004B06C5"/>
    <w:rsid w:val="004B1B0E"/>
    <w:rsid w:val="004B1B18"/>
    <w:rsid w:val="004B3549"/>
    <w:rsid w:val="004B7EAE"/>
    <w:rsid w:val="004C06A9"/>
    <w:rsid w:val="004C2CD0"/>
    <w:rsid w:val="004C5230"/>
    <w:rsid w:val="004C5F3F"/>
    <w:rsid w:val="004D0219"/>
    <w:rsid w:val="004D1DF0"/>
    <w:rsid w:val="004D4F17"/>
    <w:rsid w:val="004D61D1"/>
    <w:rsid w:val="004E12A7"/>
    <w:rsid w:val="004E158A"/>
    <w:rsid w:val="004E1A78"/>
    <w:rsid w:val="004E2D49"/>
    <w:rsid w:val="004E37F0"/>
    <w:rsid w:val="004E4AF8"/>
    <w:rsid w:val="004E65E8"/>
    <w:rsid w:val="004E68E7"/>
    <w:rsid w:val="004E71A9"/>
    <w:rsid w:val="004F0D01"/>
    <w:rsid w:val="004F5203"/>
    <w:rsid w:val="004F60C4"/>
    <w:rsid w:val="00500AA8"/>
    <w:rsid w:val="005021A3"/>
    <w:rsid w:val="00503344"/>
    <w:rsid w:val="00505753"/>
    <w:rsid w:val="0051055C"/>
    <w:rsid w:val="00511B17"/>
    <w:rsid w:val="0051211C"/>
    <w:rsid w:val="0051367A"/>
    <w:rsid w:val="00513C9E"/>
    <w:rsid w:val="00514985"/>
    <w:rsid w:val="005151BD"/>
    <w:rsid w:val="0052000B"/>
    <w:rsid w:val="00522092"/>
    <w:rsid w:val="00522843"/>
    <w:rsid w:val="005243B8"/>
    <w:rsid w:val="0052569E"/>
    <w:rsid w:val="00525EEF"/>
    <w:rsid w:val="00527279"/>
    <w:rsid w:val="005320E6"/>
    <w:rsid w:val="005330DD"/>
    <w:rsid w:val="00533884"/>
    <w:rsid w:val="0053538E"/>
    <w:rsid w:val="00535FFE"/>
    <w:rsid w:val="00537703"/>
    <w:rsid w:val="00541315"/>
    <w:rsid w:val="00541911"/>
    <w:rsid w:val="00542B10"/>
    <w:rsid w:val="00543AC3"/>
    <w:rsid w:val="005545F6"/>
    <w:rsid w:val="0055480B"/>
    <w:rsid w:val="005571E7"/>
    <w:rsid w:val="00557529"/>
    <w:rsid w:val="00560FC7"/>
    <w:rsid w:val="00562C02"/>
    <w:rsid w:val="0056448C"/>
    <w:rsid w:val="0056554A"/>
    <w:rsid w:val="00567328"/>
    <w:rsid w:val="00570931"/>
    <w:rsid w:val="00572957"/>
    <w:rsid w:val="00574B2D"/>
    <w:rsid w:val="0057518D"/>
    <w:rsid w:val="005843C7"/>
    <w:rsid w:val="00584BEE"/>
    <w:rsid w:val="00592BD6"/>
    <w:rsid w:val="005942B9"/>
    <w:rsid w:val="00594907"/>
    <w:rsid w:val="00597067"/>
    <w:rsid w:val="005A2D18"/>
    <w:rsid w:val="005B75D2"/>
    <w:rsid w:val="005C0684"/>
    <w:rsid w:val="005C1B6E"/>
    <w:rsid w:val="005C6EF0"/>
    <w:rsid w:val="005D035E"/>
    <w:rsid w:val="005D172B"/>
    <w:rsid w:val="005D28D3"/>
    <w:rsid w:val="005D5EF1"/>
    <w:rsid w:val="005E0143"/>
    <w:rsid w:val="005E08F7"/>
    <w:rsid w:val="005E3A66"/>
    <w:rsid w:val="005E3F47"/>
    <w:rsid w:val="005E6311"/>
    <w:rsid w:val="005F1858"/>
    <w:rsid w:val="005F2367"/>
    <w:rsid w:val="005F26D9"/>
    <w:rsid w:val="005F288B"/>
    <w:rsid w:val="005F3F1D"/>
    <w:rsid w:val="005F451F"/>
    <w:rsid w:val="005F4DCE"/>
    <w:rsid w:val="005F4DD5"/>
    <w:rsid w:val="005F64A2"/>
    <w:rsid w:val="00601280"/>
    <w:rsid w:val="00603EAC"/>
    <w:rsid w:val="00607602"/>
    <w:rsid w:val="00607769"/>
    <w:rsid w:val="00607FF4"/>
    <w:rsid w:val="0061267C"/>
    <w:rsid w:val="00623CD8"/>
    <w:rsid w:val="0063045E"/>
    <w:rsid w:val="00634412"/>
    <w:rsid w:val="00634D36"/>
    <w:rsid w:val="006361A3"/>
    <w:rsid w:val="00636B77"/>
    <w:rsid w:val="00640BE1"/>
    <w:rsid w:val="00641C9C"/>
    <w:rsid w:val="00642695"/>
    <w:rsid w:val="006426BE"/>
    <w:rsid w:val="0064647E"/>
    <w:rsid w:val="00646C01"/>
    <w:rsid w:val="00646E55"/>
    <w:rsid w:val="0065054C"/>
    <w:rsid w:val="00652A31"/>
    <w:rsid w:val="0065340A"/>
    <w:rsid w:val="00660496"/>
    <w:rsid w:val="00660916"/>
    <w:rsid w:val="00660FE1"/>
    <w:rsid w:val="006628A5"/>
    <w:rsid w:val="00663923"/>
    <w:rsid w:val="006654CA"/>
    <w:rsid w:val="006655FB"/>
    <w:rsid w:val="00671055"/>
    <w:rsid w:val="00672A51"/>
    <w:rsid w:val="0067447F"/>
    <w:rsid w:val="0067620B"/>
    <w:rsid w:val="00677FF4"/>
    <w:rsid w:val="00680CEC"/>
    <w:rsid w:val="00681202"/>
    <w:rsid w:val="0068281F"/>
    <w:rsid w:val="0068310F"/>
    <w:rsid w:val="00683626"/>
    <w:rsid w:val="006850D9"/>
    <w:rsid w:val="0068643E"/>
    <w:rsid w:val="006874ED"/>
    <w:rsid w:val="00690703"/>
    <w:rsid w:val="006912EA"/>
    <w:rsid w:val="006978A6"/>
    <w:rsid w:val="00697B25"/>
    <w:rsid w:val="006A0219"/>
    <w:rsid w:val="006A2DE4"/>
    <w:rsid w:val="006A56BB"/>
    <w:rsid w:val="006B1941"/>
    <w:rsid w:val="006B246B"/>
    <w:rsid w:val="006B5E92"/>
    <w:rsid w:val="006B67D2"/>
    <w:rsid w:val="006C137E"/>
    <w:rsid w:val="006C1A50"/>
    <w:rsid w:val="006C494E"/>
    <w:rsid w:val="006C56F5"/>
    <w:rsid w:val="006C5E2F"/>
    <w:rsid w:val="006C6F06"/>
    <w:rsid w:val="006C7C90"/>
    <w:rsid w:val="006D1669"/>
    <w:rsid w:val="006D23CC"/>
    <w:rsid w:val="006D38F0"/>
    <w:rsid w:val="006D67DE"/>
    <w:rsid w:val="006E15F5"/>
    <w:rsid w:val="006E1A99"/>
    <w:rsid w:val="006E3AD0"/>
    <w:rsid w:val="006E4F5E"/>
    <w:rsid w:val="006F3428"/>
    <w:rsid w:val="006F7285"/>
    <w:rsid w:val="00703036"/>
    <w:rsid w:val="0070576F"/>
    <w:rsid w:val="007127B9"/>
    <w:rsid w:val="00712F4D"/>
    <w:rsid w:val="007141CA"/>
    <w:rsid w:val="00721980"/>
    <w:rsid w:val="00725B2B"/>
    <w:rsid w:val="00726F95"/>
    <w:rsid w:val="00727D38"/>
    <w:rsid w:val="00727FF6"/>
    <w:rsid w:val="007314DE"/>
    <w:rsid w:val="007358A4"/>
    <w:rsid w:val="00737967"/>
    <w:rsid w:val="00740CF5"/>
    <w:rsid w:val="00741619"/>
    <w:rsid w:val="00742AE9"/>
    <w:rsid w:val="00746382"/>
    <w:rsid w:val="0074649A"/>
    <w:rsid w:val="0075608A"/>
    <w:rsid w:val="00756BC4"/>
    <w:rsid w:val="0075748D"/>
    <w:rsid w:val="00764155"/>
    <w:rsid w:val="0076595A"/>
    <w:rsid w:val="00774CA2"/>
    <w:rsid w:val="0077625D"/>
    <w:rsid w:val="00777311"/>
    <w:rsid w:val="0078049E"/>
    <w:rsid w:val="007823D9"/>
    <w:rsid w:val="00782857"/>
    <w:rsid w:val="0078493C"/>
    <w:rsid w:val="00784C8F"/>
    <w:rsid w:val="00785971"/>
    <w:rsid w:val="0078635C"/>
    <w:rsid w:val="007863B6"/>
    <w:rsid w:val="00786E23"/>
    <w:rsid w:val="00790E9D"/>
    <w:rsid w:val="00791CA9"/>
    <w:rsid w:val="007941CC"/>
    <w:rsid w:val="007949EF"/>
    <w:rsid w:val="0079739B"/>
    <w:rsid w:val="007A3254"/>
    <w:rsid w:val="007A3DA5"/>
    <w:rsid w:val="007A4D75"/>
    <w:rsid w:val="007A69AA"/>
    <w:rsid w:val="007B541C"/>
    <w:rsid w:val="007B5E42"/>
    <w:rsid w:val="007B63C8"/>
    <w:rsid w:val="007C0276"/>
    <w:rsid w:val="007C2771"/>
    <w:rsid w:val="007C2BB6"/>
    <w:rsid w:val="007C57C0"/>
    <w:rsid w:val="007C759F"/>
    <w:rsid w:val="007D414B"/>
    <w:rsid w:val="007D47D5"/>
    <w:rsid w:val="007D49E8"/>
    <w:rsid w:val="007E1322"/>
    <w:rsid w:val="007E1DFA"/>
    <w:rsid w:val="007F11E1"/>
    <w:rsid w:val="007F6FF9"/>
    <w:rsid w:val="007F7435"/>
    <w:rsid w:val="00800060"/>
    <w:rsid w:val="00803C99"/>
    <w:rsid w:val="0080578E"/>
    <w:rsid w:val="0080593B"/>
    <w:rsid w:val="00811BC5"/>
    <w:rsid w:val="00811DD2"/>
    <w:rsid w:val="008122B1"/>
    <w:rsid w:val="00812F60"/>
    <w:rsid w:val="00817D51"/>
    <w:rsid w:val="008219DA"/>
    <w:rsid w:val="008233E8"/>
    <w:rsid w:val="00827FA4"/>
    <w:rsid w:val="00833E7C"/>
    <w:rsid w:val="008352DC"/>
    <w:rsid w:val="00837EDE"/>
    <w:rsid w:val="008444D2"/>
    <w:rsid w:val="008454C3"/>
    <w:rsid w:val="00852CAB"/>
    <w:rsid w:val="00854CB3"/>
    <w:rsid w:val="00861B9C"/>
    <w:rsid w:val="00872D04"/>
    <w:rsid w:val="008742FF"/>
    <w:rsid w:val="008832F5"/>
    <w:rsid w:val="00887AD8"/>
    <w:rsid w:val="00890C48"/>
    <w:rsid w:val="00893E0A"/>
    <w:rsid w:val="008951B2"/>
    <w:rsid w:val="008A0957"/>
    <w:rsid w:val="008A270E"/>
    <w:rsid w:val="008A3B53"/>
    <w:rsid w:val="008B3B3A"/>
    <w:rsid w:val="008C01B7"/>
    <w:rsid w:val="008C0739"/>
    <w:rsid w:val="008C3A80"/>
    <w:rsid w:val="008C76AF"/>
    <w:rsid w:val="008D2523"/>
    <w:rsid w:val="008D276B"/>
    <w:rsid w:val="008D3DEB"/>
    <w:rsid w:val="008D7B5B"/>
    <w:rsid w:val="008D7EC2"/>
    <w:rsid w:val="008E01A7"/>
    <w:rsid w:val="008E1278"/>
    <w:rsid w:val="008E6517"/>
    <w:rsid w:val="008E66FE"/>
    <w:rsid w:val="008F0E58"/>
    <w:rsid w:val="008F6C0F"/>
    <w:rsid w:val="009004B4"/>
    <w:rsid w:val="00900594"/>
    <w:rsid w:val="00900E14"/>
    <w:rsid w:val="0090119F"/>
    <w:rsid w:val="00903E9C"/>
    <w:rsid w:val="00904759"/>
    <w:rsid w:val="009111CF"/>
    <w:rsid w:val="0091492E"/>
    <w:rsid w:val="00914BE8"/>
    <w:rsid w:val="009207F4"/>
    <w:rsid w:val="00921FA3"/>
    <w:rsid w:val="00922F00"/>
    <w:rsid w:val="00924174"/>
    <w:rsid w:val="009254CF"/>
    <w:rsid w:val="009259FF"/>
    <w:rsid w:val="00927D73"/>
    <w:rsid w:val="0093259D"/>
    <w:rsid w:val="009331DA"/>
    <w:rsid w:val="009343FF"/>
    <w:rsid w:val="00937A28"/>
    <w:rsid w:val="00942B96"/>
    <w:rsid w:val="0094582E"/>
    <w:rsid w:val="0094619D"/>
    <w:rsid w:val="00947D85"/>
    <w:rsid w:val="009517DF"/>
    <w:rsid w:val="00954802"/>
    <w:rsid w:val="0095695B"/>
    <w:rsid w:val="00962D8F"/>
    <w:rsid w:val="00970B0C"/>
    <w:rsid w:val="00973AFD"/>
    <w:rsid w:val="00980AED"/>
    <w:rsid w:val="00987AE5"/>
    <w:rsid w:val="00990BC0"/>
    <w:rsid w:val="0099388E"/>
    <w:rsid w:val="0099490E"/>
    <w:rsid w:val="0099674C"/>
    <w:rsid w:val="009A4DDC"/>
    <w:rsid w:val="009A5332"/>
    <w:rsid w:val="009A6843"/>
    <w:rsid w:val="009B11E2"/>
    <w:rsid w:val="009B14D4"/>
    <w:rsid w:val="009B290D"/>
    <w:rsid w:val="009B4DA7"/>
    <w:rsid w:val="009B7D74"/>
    <w:rsid w:val="009C4FC7"/>
    <w:rsid w:val="009D1296"/>
    <w:rsid w:val="009D32A2"/>
    <w:rsid w:val="009D40C2"/>
    <w:rsid w:val="009D48BF"/>
    <w:rsid w:val="009D5E18"/>
    <w:rsid w:val="009D7094"/>
    <w:rsid w:val="009D7F4C"/>
    <w:rsid w:val="009E00BA"/>
    <w:rsid w:val="009E1C85"/>
    <w:rsid w:val="009E48CD"/>
    <w:rsid w:val="009F5716"/>
    <w:rsid w:val="009F58C5"/>
    <w:rsid w:val="00A0038D"/>
    <w:rsid w:val="00A00894"/>
    <w:rsid w:val="00A00CFA"/>
    <w:rsid w:val="00A00D10"/>
    <w:rsid w:val="00A0159E"/>
    <w:rsid w:val="00A10C9E"/>
    <w:rsid w:val="00A11D1F"/>
    <w:rsid w:val="00A11E4D"/>
    <w:rsid w:val="00A12C63"/>
    <w:rsid w:val="00A13991"/>
    <w:rsid w:val="00A146E9"/>
    <w:rsid w:val="00A2331F"/>
    <w:rsid w:val="00A23624"/>
    <w:rsid w:val="00A25CF9"/>
    <w:rsid w:val="00A33EAE"/>
    <w:rsid w:val="00A34280"/>
    <w:rsid w:val="00A363BF"/>
    <w:rsid w:val="00A41DE4"/>
    <w:rsid w:val="00A46A4B"/>
    <w:rsid w:val="00A472A7"/>
    <w:rsid w:val="00A4790C"/>
    <w:rsid w:val="00A47F9A"/>
    <w:rsid w:val="00A50DED"/>
    <w:rsid w:val="00A5277F"/>
    <w:rsid w:val="00A52A3B"/>
    <w:rsid w:val="00A55A51"/>
    <w:rsid w:val="00A572E4"/>
    <w:rsid w:val="00A5775D"/>
    <w:rsid w:val="00A6087B"/>
    <w:rsid w:val="00A614E2"/>
    <w:rsid w:val="00A61E2A"/>
    <w:rsid w:val="00A653CD"/>
    <w:rsid w:val="00A67326"/>
    <w:rsid w:val="00A70F51"/>
    <w:rsid w:val="00A70F7D"/>
    <w:rsid w:val="00A80451"/>
    <w:rsid w:val="00A80D5D"/>
    <w:rsid w:val="00A81F96"/>
    <w:rsid w:val="00A84890"/>
    <w:rsid w:val="00A84FAA"/>
    <w:rsid w:val="00A93069"/>
    <w:rsid w:val="00A953C7"/>
    <w:rsid w:val="00A96BB7"/>
    <w:rsid w:val="00A97032"/>
    <w:rsid w:val="00AA07F9"/>
    <w:rsid w:val="00AA0D96"/>
    <w:rsid w:val="00AA3610"/>
    <w:rsid w:val="00AA5D52"/>
    <w:rsid w:val="00AA6F6F"/>
    <w:rsid w:val="00AA7BE1"/>
    <w:rsid w:val="00AB0F27"/>
    <w:rsid w:val="00AB3CEE"/>
    <w:rsid w:val="00AB7ADF"/>
    <w:rsid w:val="00AC0E67"/>
    <w:rsid w:val="00AC19F1"/>
    <w:rsid w:val="00AC2A49"/>
    <w:rsid w:val="00AC5306"/>
    <w:rsid w:val="00AC6055"/>
    <w:rsid w:val="00AC6080"/>
    <w:rsid w:val="00AC783A"/>
    <w:rsid w:val="00AD534B"/>
    <w:rsid w:val="00AD61FA"/>
    <w:rsid w:val="00AD636F"/>
    <w:rsid w:val="00AD71DE"/>
    <w:rsid w:val="00AD7EE5"/>
    <w:rsid w:val="00AE0BA1"/>
    <w:rsid w:val="00AE160F"/>
    <w:rsid w:val="00AF211A"/>
    <w:rsid w:val="00AF5E1D"/>
    <w:rsid w:val="00B02A93"/>
    <w:rsid w:val="00B11E89"/>
    <w:rsid w:val="00B16902"/>
    <w:rsid w:val="00B22171"/>
    <w:rsid w:val="00B32D9B"/>
    <w:rsid w:val="00B3424C"/>
    <w:rsid w:val="00B356F4"/>
    <w:rsid w:val="00B358DF"/>
    <w:rsid w:val="00B36E3E"/>
    <w:rsid w:val="00B37E24"/>
    <w:rsid w:val="00B415A4"/>
    <w:rsid w:val="00B41B87"/>
    <w:rsid w:val="00B4677F"/>
    <w:rsid w:val="00B507C7"/>
    <w:rsid w:val="00B515F2"/>
    <w:rsid w:val="00B51649"/>
    <w:rsid w:val="00B518B7"/>
    <w:rsid w:val="00B52A1D"/>
    <w:rsid w:val="00B52FBA"/>
    <w:rsid w:val="00B53603"/>
    <w:rsid w:val="00B54EA8"/>
    <w:rsid w:val="00B574B9"/>
    <w:rsid w:val="00B65A56"/>
    <w:rsid w:val="00B66F5E"/>
    <w:rsid w:val="00B67E56"/>
    <w:rsid w:val="00B76536"/>
    <w:rsid w:val="00B76EC9"/>
    <w:rsid w:val="00B8141D"/>
    <w:rsid w:val="00B835A5"/>
    <w:rsid w:val="00B846B1"/>
    <w:rsid w:val="00B85808"/>
    <w:rsid w:val="00B85A89"/>
    <w:rsid w:val="00B92472"/>
    <w:rsid w:val="00B954EA"/>
    <w:rsid w:val="00B96B26"/>
    <w:rsid w:val="00BA5052"/>
    <w:rsid w:val="00BA6ABB"/>
    <w:rsid w:val="00BA70B2"/>
    <w:rsid w:val="00BB4F07"/>
    <w:rsid w:val="00BC1B61"/>
    <w:rsid w:val="00BC23DE"/>
    <w:rsid w:val="00BC5410"/>
    <w:rsid w:val="00BD2065"/>
    <w:rsid w:val="00BD2D1D"/>
    <w:rsid w:val="00BE25AE"/>
    <w:rsid w:val="00BF051E"/>
    <w:rsid w:val="00BF1C06"/>
    <w:rsid w:val="00BF3C84"/>
    <w:rsid w:val="00BF5886"/>
    <w:rsid w:val="00C05D87"/>
    <w:rsid w:val="00C07F82"/>
    <w:rsid w:val="00C13367"/>
    <w:rsid w:val="00C15074"/>
    <w:rsid w:val="00C16089"/>
    <w:rsid w:val="00C16877"/>
    <w:rsid w:val="00C168E5"/>
    <w:rsid w:val="00C202AB"/>
    <w:rsid w:val="00C226DB"/>
    <w:rsid w:val="00C25EAA"/>
    <w:rsid w:val="00C2665F"/>
    <w:rsid w:val="00C32DDE"/>
    <w:rsid w:val="00C36E2F"/>
    <w:rsid w:val="00C3701E"/>
    <w:rsid w:val="00C40E75"/>
    <w:rsid w:val="00C41A80"/>
    <w:rsid w:val="00C43915"/>
    <w:rsid w:val="00C560C6"/>
    <w:rsid w:val="00C61AEC"/>
    <w:rsid w:val="00C633F4"/>
    <w:rsid w:val="00C70EBA"/>
    <w:rsid w:val="00C7546C"/>
    <w:rsid w:val="00C76C00"/>
    <w:rsid w:val="00C804A3"/>
    <w:rsid w:val="00C8080A"/>
    <w:rsid w:val="00C808A4"/>
    <w:rsid w:val="00C80AFA"/>
    <w:rsid w:val="00C845E2"/>
    <w:rsid w:val="00C85236"/>
    <w:rsid w:val="00C87715"/>
    <w:rsid w:val="00C9084F"/>
    <w:rsid w:val="00C91798"/>
    <w:rsid w:val="00C93DD0"/>
    <w:rsid w:val="00C9543E"/>
    <w:rsid w:val="00C95E25"/>
    <w:rsid w:val="00C9641E"/>
    <w:rsid w:val="00CA3D88"/>
    <w:rsid w:val="00CB1455"/>
    <w:rsid w:val="00CB1F2A"/>
    <w:rsid w:val="00CB4846"/>
    <w:rsid w:val="00CB70E2"/>
    <w:rsid w:val="00CC0FAD"/>
    <w:rsid w:val="00CC2E9A"/>
    <w:rsid w:val="00CC37A8"/>
    <w:rsid w:val="00CC5C9E"/>
    <w:rsid w:val="00CD0447"/>
    <w:rsid w:val="00CD15CC"/>
    <w:rsid w:val="00CD18FC"/>
    <w:rsid w:val="00CD220F"/>
    <w:rsid w:val="00CD2344"/>
    <w:rsid w:val="00CD434E"/>
    <w:rsid w:val="00CD5475"/>
    <w:rsid w:val="00CD5BAD"/>
    <w:rsid w:val="00CD5DC0"/>
    <w:rsid w:val="00CD6A0C"/>
    <w:rsid w:val="00CF1411"/>
    <w:rsid w:val="00CF2B22"/>
    <w:rsid w:val="00CF2DB5"/>
    <w:rsid w:val="00CF41A8"/>
    <w:rsid w:val="00CF7C42"/>
    <w:rsid w:val="00D001F5"/>
    <w:rsid w:val="00D0407B"/>
    <w:rsid w:val="00D16733"/>
    <w:rsid w:val="00D173AD"/>
    <w:rsid w:val="00D17AA3"/>
    <w:rsid w:val="00D2495D"/>
    <w:rsid w:val="00D25C6B"/>
    <w:rsid w:val="00D2687C"/>
    <w:rsid w:val="00D340F8"/>
    <w:rsid w:val="00D351BE"/>
    <w:rsid w:val="00D35714"/>
    <w:rsid w:val="00D417C1"/>
    <w:rsid w:val="00D447CB"/>
    <w:rsid w:val="00D448B7"/>
    <w:rsid w:val="00D44ECB"/>
    <w:rsid w:val="00D453F9"/>
    <w:rsid w:val="00D45C27"/>
    <w:rsid w:val="00D5016B"/>
    <w:rsid w:val="00D52274"/>
    <w:rsid w:val="00D52275"/>
    <w:rsid w:val="00D52D26"/>
    <w:rsid w:val="00D53426"/>
    <w:rsid w:val="00D553F7"/>
    <w:rsid w:val="00D57A75"/>
    <w:rsid w:val="00D617C4"/>
    <w:rsid w:val="00D61DED"/>
    <w:rsid w:val="00D62E93"/>
    <w:rsid w:val="00D6563F"/>
    <w:rsid w:val="00D660D6"/>
    <w:rsid w:val="00D67F96"/>
    <w:rsid w:val="00D71D26"/>
    <w:rsid w:val="00D73061"/>
    <w:rsid w:val="00D73121"/>
    <w:rsid w:val="00D74EE0"/>
    <w:rsid w:val="00D75E00"/>
    <w:rsid w:val="00D762F5"/>
    <w:rsid w:val="00D76394"/>
    <w:rsid w:val="00D76BB0"/>
    <w:rsid w:val="00D77726"/>
    <w:rsid w:val="00D817B4"/>
    <w:rsid w:val="00D81B94"/>
    <w:rsid w:val="00D81D56"/>
    <w:rsid w:val="00D83C32"/>
    <w:rsid w:val="00D93187"/>
    <w:rsid w:val="00D96540"/>
    <w:rsid w:val="00D97C87"/>
    <w:rsid w:val="00D97FE7"/>
    <w:rsid w:val="00DA2A64"/>
    <w:rsid w:val="00DA2EFE"/>
    <w:rsid w:val="00DA4477"/>
    <w:rsid w:val="00DA4F1A"/>
    <w:rsid w:val="00DA55B8"/>
    <w:rsid w:val="00DA6388"/>
    <w:rsid w:val="00DA65F4"/>
    <w:rsid w:val="00DA6A6C"/>
    <w:rsid w:val="00DB00E0"/>
    <w:rsid w:val="00DB56B2"/>
    <w:rsid w:val="00DC1862"/>
    <w:rsid w:val="00DC416E"/>
    <w:rsid w:val="00DC4359"/>
    <w:rsid w:val="00DC4B04"/>
    <w:rsid w:val="00DC76A7"/>
    <w:rsid w:val="00DD1C48"/>
    <w:rsid w:val="00DD4206"/>
    <w:rsid w:val="00DE295E"/>
    <w:rsid w:val="00DE33EC"/>
    <w:rsid w:val="00DF0471"/>
    <w:rsid w:val="00DF1078"/>
    <w:rsid w:val="00DF15A4"/>
    <w:rsid w:val="00DF2250"/>
    <w:rsid w:val="00DF573C"/>
    <w:rsid w:val="00E03C9B"/>
    <w:rsid w:val="00E0440B"/>
    <w:rsid w:val="00E0487A"/>
    <w:rsid w:val="00E0566F"/>
    <w:rsid w:val="00E058C6"/>
    <w:rsid w:val="00E05DDB"/>
    <w:rsid w:val="00E0716C"/>
    <w:rsid w:val="00E13CB0"/>
    <w:rsid w:val="00E17F76"/>
    <w:rsid w:val="00E20834"/>
    <w:rsid w:val="00E20B42"/>
    <w:rsid w:val="00E2209F"/>
    <w:rsid w:val="00E22D1A"/>
    <w:rsid w:val="00E2568A"/>
    <w:rsid w:val="00E25AA6"/>
    <w:rsid w:val="00E25B5C"/>
    <w:rsid w:val="00E27638"/>
    <w:rsid w:val="00E27E56"/>
    <w:rsid w:val="00E27EEA"/>
    <w:rsid w:val="00E336F3"/>
    <w:rsid w:val="00E36B6F"/>
    <w:rsid w:val="00E43AC7"/>
    <w:rsid w:val="00E43AEF"/>
    <w:rsid w:val="00E45413"/>
    <w:rsid w:val="00E45F39"/>
    <w:rsid w:val="00E50AAB"/>
    <w:rsid w:val="00E51227"/>
    <w:rsid w:val="00E51C92"/>
    <w:rsid w:val="00E55F95"/>
    <w:rsid w:val="00E56AEA"/>
    <w:rsid w:val="00E60932"/>
    <w:rsid w:val="00E61C0B"/>
    <w:rsid w:val="00E64092"/>
    <w:rsid w:val="00E64802"/>
    <w:rsid w:val="00E65922"/>
    <w:rsid w:val="00E66A07"/>
    <w:rsid w:val="00E67411"/>
    <w:rsid w:val="00E743B0"/>
    <w:rsid w:val="00E75AC5"/>
    <w:rsid w:val="00E75DC7"/>
    <w:rsid w:val="00E7674A"/>
    <w:rsid w:val="00E77F65"/>
    <w:rsid w:val="00E80BF8"/>
    <w:rsid w:val="00E81632"/>
    <w:rsid w:val="00E81A50"/>
    <w:rsid w:val="00E82B49"/>
    <w:rsid w:val="00E86F49"/>
    <w:rsid w:val="00E876B0"/>
    <w:rsid w:val="00E95555"/>
    <w:rsid w:val="00EA4404"/>
    <w:rsid w:val="00EA4A04"/>
    <w:rsid w:val="00EA4D17"/>
    <w:rsid w:val="00EA4EBF"/>
    <w:rsid w:val="00EA6915"/>
    <w:rsid w:val="00EA742E"/>
    <w:rsid w:val="00EB237B"/>
    <w:rsid w:val="00EB5E0A"/>
    <w:rsid w:val="00EB5F57"/>
    <w:rsid w:val="00EB69DA"/>
    <w:rsid w:val="00EC088A"/>
    <w:rsid w:val="00EC5AA4"/>
    <w:rsid w:val="00ED08B9"/>
    <w:rsid w:val="00ED184C"/>
    <w:rsid w:val="00ED3041"/>
    <w:rsid w:val="00ED3927"/>
    <w:rsid w:val="00ED40B6"/>
    <w:rsid w:val="00ED6816"/>
    <w:rsid w:val="00ED6891"/>
    <w:rsid w:val="00ED6DD6"/>
    <w:rsid w:val="00ED7F6B"/>
    <w:rsid w:val="00EE0670"/>
    <w:rsid w:val="00EE25EE"/>
    <w:rsid w:val="00EE37BB"/>
    <w:rsid w:val="00EE4A93"/>
    <w:rsid w:val="00EF2A48"/>
    <w:rsid w:val="00EF41C5"/>
    <w:rsid w:val="00EF5662"/>
    <w:rsid w:val="00F0139B"/>
    <w:rsid w:val="00F039BF"/>
    <w:rsid w:val="00F03A73"/>
    <w:rsid w:val="00F05C05"/>
    <w:rsid w:val="00F05E3F"/>
    <w:rsid w:val="00F05E99"/>
    <w:rsid w:val="00F06A48"/>
    <w:rsid w:val="00F1127B"/>
    <w:rsid w:val="00F1129F"/>
    <w:rsid w:val="00F116C0"/>
    <w:rsid w:val="00F11827"/>
    <w:rsid w:val="00F14FA8"/>
    <w:rsid w:val="00F1601D"/>
    <w:rsid w:val="00F20B50"/>
    <w:rsid w:val="00F2195E"/>
    <w:rsid w:val="00F26276"/>
    <w:rsid w:val="00F3289F"/>
    <w:rsid w:val="00F34FD5"/>
    <w:rsid w:val="00F373F2"/>
    <w:rsid w:val="00F4005E"/>
    <w:rsid w:val="00F4064A"/>
    <w:rsid w:val="00F4103F"/>
    <w:rsid w:val="00F47B16"/>
    <w:rsid w:val="00F50981"/>
    <w:rsid w:val="00F63FFA"/>
    <w:rsid w:val="00F66DBD"/>
    <w:rsid w:val="00F74E51"/>
    <w:rsid w:val="00F76543"/>
    <w:rsid w:val="00F766F7"/>
    <w:rsid w:val="00F774EE"/>
    <w:rsid w:val="00F80059"/>
    <w:rsid w:val="00F87476"/>
    <w:rsid w:val="00F87FD6"/>
    <w:rsid w:val="00F905FA"/>
    <w:rsid w:val="00F90A23"/>
    <w:rsid w:val="00F92336"/>
    <w:rsid w:val="00FA4826"/>
    <w:rsid w:val="00FB07E0"/>
    <w:rsid w:val="00FB2AC0"/>
    <w:rsid w:val="00FB5216"/>
    <w:rsid w:val="00FB5E85"/>
    <w:rsid w:val="00FB78CC"/>
    <w:rsid w:val="00FC14F1"/>
    <w:rsid w:val="00FC5157"/>
    <w:rsid w:val="00FC5DA9"/>
    <w:rsid w:val="00FD003E"/>
    <w:rsid w:val="00FD0AC1"/>
    <w:rsid w:val="00FD3DB4"/>
    <w:rsid w:val="00FD5447"/>
    <w:rsid w:val="00FD681A"/>
    <w:rsid w:val="00FE4D73"/>
    <w:rsid w:val="00FE5A74"/>
    <w:rsid w:val="00FF0BA0"/>
    <w:rsid w:val="00FF35F2"/>
    <w:rsid w:val="00FF46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BEE4B"/>
  <w15:chartTrackingRefBased/>
  <w15:docId w15:val="{8AFD3E5B-8838-4929-89D2-9C5E6871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C84"/>
    <w:pPr>
      <w:spacing w:after="120" w:line="336" w:lineRule="auto"/>
    </w:pPr>
    <w:rPr>
      <w:rFonts w:ascii="Aptos" w:hAnsi="Aptos"/>
      <w:sz w:val="26"/>
    </w:rPr>
  </w:style>
  <w:style w:type="paragraph" w:styleId="Heading1">
    <w:name w:val="heading 1"/>
    <w:basedOn w:val="Normal"/>
    <w:next w:val="Normal"/>
    <w:link w:val="Heading1Char"/>
    <w:uiPriority w:val="9"/>
    <w:qFormat/>
    <w:rsid w:val="000C0F87"/>
    <w:pPr>
      <w:keepNext/>
      <w:keepLines/>
      <w:spacing w:before="480" w:after="240" w:line="264" w:lineRule="auto"/>
      <w:outlineLvl w:val="0"/>
    </w:pPr>
    <w:rPr>
      <w:rFonts w:ascii="Aptos Display" w:eastAsiaTheme="majorEastAsia" w:hAnsi="Aptos Display" w:cstheme="majorBidi"/>
      <w:b/>
      <w:color w:val="182741" w:themeColor="text2"/>
      <w:sz w:val="52"/>
      <w:szCs w:val="32"/>
    </w:rPr>
  </w:style>
  <w:style w:type="paragraph" w:styleId="Heading2">
    <w:name w:val="heading 2"/>
    <w:basedOn w:val="Normal"/>
    <w:next w:val="Normal"/>
    <w:link w:val="Heading2Char"/>
    <w:uiPriority w:val="9"/>
    <w:unhideWhenUsed/>
    <w:qFormat/>
    <w:rsid w:val="000C0F87"/>
    <w:pPr>
      <w:keepNext/>
      <w:keepLines/>
      <w:spacing w:before="360" w:line="288" w:lineRule="auto"/>
      <w:outlineLvl w:val="1"/>
    </w:pPr>
    <w:rPr>
      <w:rFonts w:ascii="Aptos SemiBold" w:eastAsiaTheme="majorEastAsia" w:hAnsi="Aptos SemiBold" w:cstheme="majorBidi"/>
      <w:color w:val="3A5A88" w:themeColor="accent1"/>
      <w:sz w:val="40"/>
      <w:szCs w:val="26"/>
    </w:rPr>
  </w:style>
  <w:style w:type="paragraph" w:styleId="Heading3">
    <w:name w:val="heading 3"/>
    <w:basedOn w:val="Normal"/>
    <w:next w:val="Normal"/>
    <w:link w:val="Heading3Char"/>
    <w:uiPriority w:val="9"/>
    <w:unhideWhenUsed/>
    <w:qFormat/>
    <w:rsid w:val="00FE4D73"/>
    <w:pPr>
      <w:keepNext/>
      <w:keepLines/>
      <w:spacing w:before="240"/>
      <w:outlineLvl w:val="2"/>
    </w:pPr>
    <w:rPr>
      <w:rFonts w:ascii="Aptos Display" w:eastAsiaTheme="majorEastAsia" w:hAnsi="Aptos Display" w:cstheme="majorBidi"/>
      <w:b/>
      <w:color w:val="467C81" w:themeColor="accent3"/>
      <w:sz w:val="34"/>
      <w:szCs w:val="24"/>
    </w:rPr>
  </w:style>
  <w:style w:type="paragraph" w:styleId="Heading4">
    <w:name w:val="heading 4"/>
    <w:basedOn w:val="Heading3"/>
    <w:next w:val="Normal"/>
    <w:link w:val="Heading4Char"/>
    <w:uiPriority w:val="9"/>
    <w:unhideWhenUsed/>
    <w:qFormat/>
    <w:rsid w:val="000C0F87"/>
    <w:pPr>
      <w:spacing w:before="120" w:after="40"/>
      <w:outlineLvl w:val="3"/>
    </w:pPr>
    <w:rPr>
      <w:rFonts w:ascii="Aptos SemiBold" w:hAnsi="Aptos SemiBold"/>
      <w:b w:val="0"/>
      <w:color w:val="8F5629" w:themeColor="accent2"/>
      <w:sz w:val="30"/>
    </w:rPr>
  </w:style>
  <w:style w:type="paragraph" w:styleId="Heading5">
    <w:name w:val="heading 5"/>
    <w:basedOn w:val="Normal"/>
    <w:next w:val="Normal"/>
    <w:link w:val="Heading5Char"/>
    <w:uiPriority w:val="9"/>
    <w:unhideWhenUsed/>
    <w:qFormat/>
    <w:rsid w:val="000C0F87"/>
    <w:pPr>
      <w:keepNext/>
      <w:keepLines/>
      <w:spacing w:before="120" w:after="0"/>
      <w:outlineLvl w:val="4"/>
    </w:pPr>
    <w:rPr>
      <w:rFonts w:ascii="Aptos SemiBold" w:eastAsiaTheme="majorEastAsia" w:hAnsi="Aptos SemiBold" w:cstheme="majorBidi"/>
      <w:b/>
      <w:sz w:val="28"/>
    </w:rPr>
  </w:style>
  <w:style w:type="paragraph" w:styleId="Heading6">
    <w:name w:val="heading 6"/>
    <w:basedOn w:val="Normal"/>
    <w:next w:val="Normal"/>
    <w:link w:val="Heading6Char"/>
    <w:uiPriority w:val="9"/>
    <w:unhideWhenUsed/>
    <w:qFormat/>
    <w:rsid w:val="0091492E"/>
    <w:pPr>
      <w:keepNext/>
      <w:keepLines/>
      <w:spacing w:before="40" w:after="0"/>
      <w:outlineLvl w:val="5"/>
    </w:pPr>
    <w:rPr>
      <w:rFonts w:eastAsiaTheme="majorEastAsia" w:cstheme="majorBidi"/>
      <w:b/>
    </w:rPr>
  </w:style>
  <w:style w:type="paragraph" w:styleId="Heading7">
    <w:name w:val="heading 7"/>
    <w:basedOn w:val="Normal"/>
    <w:next w:val="Normal"/>
    <w:link w:val="Heading7Char"/>
    <w:uiPriority w:val="9"/>
    <w:unhideWhenUsed/>
    <w:qFormat/>
    <w:rsid w:val="0091492E"/>
    <w:pPr>
      <w:keepNext/>
      <w:keepLines/>
      <w:spacing w:before="40" w:after="0"/>
      <w:outlineLvl w:val="6"/>
    </w:pPr>
    <w:rPr>
      <w:rFonts w:ascii="Aptos SemiBold" w:eastAsiaTheme="majorEastAsia" w:hAnsi="Aptos SemiBold" w:cstheme="majorBidi"/>
      <w:iCs/>
    </w:rPr>
  </w:style>
  <w:style w:type="paragraph" w:styleId="Heading8">
    <w:name w:val="heading 8"/>
    <w:basedOn w:val="Normal"/>
    <w:next w:val="Normal"/>
    <w:link w:val="Heading8Char"/>
    <w:uiPriority w:val="9"/>
    <w:semiHidden/>
    <w:unhideWhenUsed/>
    <w:qFormat/>
    <w:rsid w:val="00C40E75"/>
    <w:pPr>
      <w:keepNext/>
      <w:keepLines/>
      <w:spacing w:before="40" w:after="0"/>
      <w:outlineLvl w:val="7"/>
    </w:pPr>
    <w:rPr>
      <w:rFonts w:eastAsiaTheme="majorEastAsia" w:cstheme="majorBidi"/>
      <w:b/>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List">
    <w:name w:val="Definition List"/>
    <w:basedOn w:val="Normal"/>
    <w:qFormat/>
    <w:rsid w:val="009A4DDC"/>
    <w:pPr>
      <w:tabs>
        <w:tab w:val="left" w:pos="2160"/>
      </w:tabs>
      <w:ind w:left="2160" w:hanging="2160"/>
    </w:pPr>
  </w:style>
  <w:style w:type="character" w:customStyle="1" w:styleId="Heading1Char">
    <w:name w:val="Heading 1 Char"/>
    <w:basedOn w:val="DefaultParagraphFont"/>
    <w:link w:val="Heading1"/>
    <w:uiPriority w:val="9"/>
    <w:rsid w:val="000C0F87"/>
    <w:rPr>
      <w:rFonts w:ascii="Aptos Display" w:eastAsiaTheme="majorEastAsia" w:hAnsi="Aptos Display" w:cstheme="majorBidi"/>
      <w:b/>
      <w:color w:val="182741" w:themeColor="text2"/>
      <w:sz w:val="52"/>
      <w:szCs w:val="32"/>
    </w:rPr>
  </w:style>
  <w:style w:type="character" w:customStyle="1" w:styleId="Heading2Char">
    <w:name w:val="Heading 2 Char"/>
    <w:basedOn w:val="DefaultParagraphFont"/>
    <w:link w:val="Heading2"/>
    <w:uiPriority w:val="9"/>
    <w:rsid w:val="000C0F87"/>
    <w:rPr>
      <w:rFonts w:ascii="Aptos SemiBold" w:eastAsiaTheme="majorEastAsia" w:hAnsi="Aptos SemiBold" w:cstheme="majorBidi"/>
      <w:color w:val="3A5A88" w:themeColor="accent1"/>
      <w:sz w:val="40"/>
      <w:szCs w:val="26"/>
    </w:rPr>
  </w:style>
  <w:style w:type="character" w:customStyle="1" w:styleId="Heading3Char">
    <w:name w:val="Heading 3 Char"/>
    <w:basedOn w:val="DefaultParagraphFont"/>
    <w:link w:val="Heading3"/>
    <w:uiPriority w:val="9"/>
    <w:rsid w:val="00FE4D73"/>
    <w:rPr>
      <w:rFonts w:ascii="Aptos Display" w:eastAsiaTheme="majorEastAsia" w:hAnsi="Aptos Display" w:cstheme="majorBidi"/>
      <w:b/>
      <w:color w:val="467C81" w:themeColor="accent3"/>
      <w:sz w:val="34"/>
      <w:szCs w:val="24"/>
    </w:rPr>
  </w:style>
  <w:style w:type="paragraph" w:customStyle="1" w:styleId="PanelBody">
    <w:name w:val="Panel Body"/>
    <w:basedOn w:val="Normal"/>
    <w:link w:val="PanelBodyChar"/>
    <w:qFormat/>
    <w:rsid w:val="00AC6080"/>
    <w:pPr>
      <w:pBdr>
        <w:left w:val="single" w:sz="8" w:space="8" w:color="595959" w:themeColor="text1" w:themeTint="A6"/>
        <w:bottom w:val="single" w:sz="8" w:space="8" w:color="595959" w:themeColor="text1" w:themeTint="A6"/>
        <w:right w:val="single" w:sz="8" w:space="8" w:color="595959" w:themeColor="text1" w:themeTint="A6"/>
      </w:pBdr>
      <w:tabs>
        <w:tab w:val="right" w:leader="dot" w:pos="9360"/>
      </w:tabs>
      <w:spacing w:before="240"/>
    </w:pPr>
  </w:style>
  <w:style w:type="paragraph" w:customStyle="1" w:styleId="PanelTitle">
    <w:name w:val="Panel Title"/>
    <w:basedOn w:val="Normal"/>
    <w:link w:val="PanelTitleChar"/>
    <w:qFormat/>
    <w:rsid w:val="00E45413"/>
    <w:pPr>
      <w:pBdr>
        <w:top w:val="single" w:sz="8" w:space="8" w:color="595959" w:themeColor="text1" w:themeTint="A6"/>
        <w:left w:val="single" w:sz="8" w:space="8" w:color="595959" w:themeColor="text1" w:themeTint="A6"/>
        <w:bottom w:val="single" w:sz="8" w:space="6" w:color="595959" w:themeColor="text1" w:themeTint="A6"/>
        <w:right w:val="single" w:sz="8" w:space="8" w:color="595959" w:themeColor="text1" w:themeTint="A6"/>
      </w:pBdr>
      <w:shd w:val="clear" w:color="auto" w:fill="F2F2F2" w:themeFill="background1" w:themeFillShade="F2"/>
      <w:spacing w:before="240" w:after="0"/>
    </w:pPr>
    <w:rPr>
      <w:rFonts w:ascii="Aptos SemiBold" w:hAnsi="Aptos SemiBold"/>
      <w:b/>
      <w:sz w:val="32"/>
    </w:rPr>
  </w:style>
  <w:style w:type="character" w:customStyle="1" w:styleId="PanelBodyChar">
    <w:name w:val="Panel Body Char"/>
    <w:basedOn w:val="DefaultParagraphFont"/>
    <w:link w:val="PanelBody"/>
    <w:rsid w:val="00AC6080"/>
    <w:rPr>
      <w:rFonts w:ascii="Arial" w:hAnsi="Arial"/>
    </w:rPr>
  </w:style>
  <w:style w:type="paragraph" w:customStyle="1" w:styleId="PanelNoTitle">
    <w:name w:val="Panel (No Title)"/>
    <w:basedOn w:val="PanelBody"/>
    <w:link w:val="PanelNoTitleChar"/>
    <w:qFormat/>
    <w:rsid w:val="00FE4D73"/>
    <w:pPr>
      <w:spacing w:before="0"/>
      <w:ind w:left="180"/>
    </w:pPr>
  </w:style>
  <w:style w:type="character" w:customStyle="1" w:styleId="PanelTitleChar">
    <w:name w:val="Panel Title Char"/>
    <w:basedOn w:val="DefaultParagraphFont"/>
    <w:link w:val="PanelTitle"/>
    <w:rsid w:val="00E45413"/>
    <w:rPr>
      <w:rFonts w:ascii="Aptos SemiBold" w:hAnsi="Aptos SemiBold"/>
      <w:b/>
      <w:sz w:val="32"/>
      <w:shd w:val="clear" w:color="auto" w:fill="F2F2F2" w:themeFill="background1" w:themeFillShade="F2"/>
    </w:rPr>
  </w:style>
  <w:style w:type="paragraph" w:styleId="ListParagraph">
    <w:name w:val="List Paragraph"/>
    <w:aliases w:val="3,Bullet 1,Bullet Points,CV text,Dot pt,F5 List Paragraph,Indicator Text,L,List Paragraph Char Char Char,List Paragraph1,List Paragraph11,List Paragraph2,Liste 1,MAIN CONTENT,Normal numbered,Numbered Para 1,Recommendation,Table text"/>
    <w:basedOn w:val="Normal"/>
    <w:link w:val="ListParagraphChar"/>
    <w:uiPriority w:val="34"/>
    <w:qFormat/>
    <w:rsid w:val="00E743B0"/>
    <w:pPr>
      <w:numPr>
        <w:numId w:val="2"/>
      </w:numPr>
      <w:tabs>
        <w:tab w:val="left" w:pos="360"/>
      </w:tabs>
      <w:spacing w:before="120"/>
      <w:ind w:left="720" w:hanging="360"/>
      <w:contextualSpacing/>
    </w:pPr>
  </w:style>
  <w:style w:type="character" w:customStyle="1" w:styleId="PanelNoTitleChar">
    <w:name w:val="Panel (No Title) Char"/>
    <w:basedOn w:val="PanelBodyChar"/>
    <w:link w:val="PanelNoTitle"/>
    <w:rsid w:val="00FE4D73"/>
    <w:rPr>
      <w:rFonts w:ascii="Aptos" w:hAnsi="Aptos"/>
      <w:sz w:val="26"/>
      <w:lang w:val="fr-CA"/>
    </w:rPr>
  </w:style>
  <w:style w:type="character" w:styleId="Hyperlink">
    <w:name w:val="Hyperlink"/>
    <w:basedOn w:val="DefaultParagraphFont"/>
    <w:uiPriority w:val="99"/>
    <w:unhideWhenUsed/>
    <w:rsid w:val="007141CA"/>
    <w:rPr>
      <w:color w:val="335289" w:themeColor="hyperlink"/>
      <w:u w:val="single"/>
    </w:rPr>
  </w:style>
  <w:style w:type="character" w:customStyle="1" w:styleId="UnresolvedMention1">
    <w:name w:val="Unresolved Mention1"/>
    <w:basedOn w:val="DefaultParagraphFont"/>
    <w:uiPriority w:val="99"/>
    <w:semiHidden/>
    <w:unhideWhenUsed/>
    <w:rsid w:val="007141CA"/>
    <w:rPr>
      <w:color w:val="605E5C"/>
      <w:shd w:val="clear" w:color="auto" w:fill="E1DFDD"/>
    </w:rPr>
  </w:style>
  <w:style w:type="character" w:customStyle="1" w:styleId="Heading4Char">
    <w:name w:val="Heading 4 Char"/>
    <w:basedOn w:val="DefaultParagraphFont"/>
    <w:link w:val="Heading4"/>
    <w:uiPriority w:val="9"/>
    <w:rsid w:val="000C0F87"/>
    <w:rPr>
      <w:rFonts w:ascii="Aptos SemiBold" w:eastAsiaTheme="majorEastAsia" w:hAnsi="Aptos SemiBold" w:cstheme="majorBidi"/>
      <w:color w:val="8F5629" w:themeColor="accent2"/>
      <w:sz w:val="30"/>
      <w:szCs w:val="24"/>
    </w:rPr>
  </w:style>
  <w:style w:type="paragraph" w:styleId="Header">
    <w:name w:val="header"/>
    <w:basedOn w:val="Normal"/>
    <w:link w:val="HeaderChar"/>
    <w:uiPriority w:val="99"/>
    <w:unhideWhenUsed/>
    <w:rsid w:val="00AD7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E5"/>
    <w:rPr>
      <w:rFonts w:ascii="Arial" w:hAnsi="Arial"/>
    </w:rPr>
  </w:style>
  <w:style w:type="paragraph" w:styleId="Footer">
    <w:name w:val="footer"/>
    <w:basedOn w:val="Normal"/>
    <w:link w:val="FooterChar"/>
    <w:uiPriority w:val="99"/>
    <w:unhideWhenUsed/>
    <w:rsid w:val="00DF1078"/>
    <w:pPr>
      <w:tabs>
        <w:tab w:val="center" w:pos="4680"/>
        <w:tab w:val="right" w:pos="9360"/>
      </w:tabs>
      <w:spacing w:before="360" w:after="0" w:line="240" w:lineRule="auto"/>
    </w:pPr>
  </w:style>
  <w:style w:type="character" w:customStyle="1" w:styleId="FooterChar">
    <w:name w:val="Footer Char"/>
    <w:basedOn w:val="DefaultParagraphFont"/>
    <w:link w:val="Footer"/>
    <w:uiPriority w:val="99"/>
    <w:rsid w:val="00DF1078"/>
    <w:rPr>
      <w:rFonts w:ascii="Aptos" w:hAnsi="Aptos"/>
      <w:sz w:val="26"/>
    </w:rPr>
  </w:style>
  <w:style w:type="paragraph" w:styleId="TOC1">
    <w:name w:val="toc 1"/>
    <w:basedOn w:val="Normal"/>
    <w:next w:val="Normal"/>
    <w:autoRedefine/>
    <w:uiPriority w:val="39"/>
    <w:unhideWhenUsed/>
    <w:rsid w:val="00AD7EE5"/>
    <w:pPr>
      <w:spacing w:after="100"/>
    </w:pPr>
  </w:style>
  <w:style w:type="character" w:styleId="CommentReference">
    <w:name w:val="annotation reference"/>
    <w:basedOn w:val="DefaultParagraphFont"/>
    <w:semiHidden/>
    <w:unhideWhenUsed/>
    <w:rsid w:val="0021416F"/>
    <w:rPr>
      <w:sz w:val="16"/>
      <w:szCs w:val="16"/>
    </w:rPr>
  </w:style>
  <w:style w:type="paragraph" w:styleId="CommentText">
    <w:name w:val="annotation text"/>
    <w:basedOn w:val="Normal"/>
    <w:link w:val="CommentTextChar"/>
    <w:unhideWhenUsed/>
    <w:rsid w:val="0021416F"/>
    <w:pPr>
      <w:spacing w:line="240" w:lineRule="auto"/>
    </w:pPr>
    <w:rPr>
      <w:sz w:val="20"/>
      <w:szCs w:val="20"/>
    </w:rPr>
  </w:style>
  <w:style w:type="character" w:customStyle="1" w:styleId="CommentTextChar">
    <w:name w:val="Comment Text Char"/>
    <w:basedOn w:val="DefaultParagraphFont"/>
    <w:link w:val="CommentText"/>
    <w:rsid w:val="0021416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416F"/>
    <w:rPr>
      <w:b/>
      <w:bCs/>
    </w:rPr>
  </w:style>
  <w:style w:type="character" w:customStyle="1" w:styleId="CommentSubjectChar">
    <w:name w:val="Comment Subject Char"/>
    <w:basedOn w:val="CommentTextChar"/>
    <w:link w:val="CommentSubject"/>
    <w:uiPriority w:val="99"/>
    <w:semiHidden/>
    <w:rsid w:val="0021416F"/>
    <w:rPr>
      <w:rFonts w:ascii="Arial" w:hAnsi="Arial"/>
      <w:b/>
      <w:bCs/>
      <w:sz w:val="20"/>
      <w:szCs w:val="20"/>
    </w:rPr>
  </w:style>
  <w:style w:type="paragraph" w:styleId="IntenseQuote">
    <w:name w:val="Intense Quote"/>
    <w:aliases w:val="Well-grey"/>
    <w:basedOn w:val="Normal"/>
    <w:next w:val="Normal"/>
    <w:link w:val="IntenseQuoteChar"/>
    <w:uiPriority w:val="30"/>
    <w:qFormat/>
    <w:rsid w:val="00FE4D73"/>
    <w:pPr>
      <w:pBdr>
        <w:left w:val="single" w:sz="8" w:space="8" w:color="auto"/>
        <w:bottom w:val="single" w:sz="8" w:space="8" w:color="auto"/>
        <w:right w:val="single" w:sz="8" w:space="8" w:color="auto"/>
      </w:pBdr>
      <w:shd w:val="clear" w:color="auto" w:fill="F2F2F2" w:themeFill="background1" w:themeFillShade="F2"/>
      <w:ind w:left="187"/>
    </w:pPr>
    <w:rPr>
      <w:iCs/>
      <w:color w:val="000000" w:themeColor="text1"/>
    </w:rPr>
  </w:style>
  <w:style w:type="character" w:customStyle="1" w:styleId="IntenseQuoteChar">
    <w:name w:val="Intense Quote Char"/>
    <w:aliases w:val="Well-grey Char"/>
    <w:basedOn w:val="DefaultParagraphFont"/>
    <w:link w:val="IntenseQuote"/>
    <w:uiPriority w:val="30"/>
    <w:rsid w:val="00FE4D73"/>
    <w:rPr>
      <w:rFonts w:ascii="Aptos" w:hAnsi="Aptos"/>
      <w:iCs/>
      <w:color w:val="000000" w:themeColor="text1"/>
      <w:sz w:val="26"/>
      <w:shd w:val="clear" w:color="auto" w:fill="F2F2F2" w:themeFill="background1" w:themeFillShade="F2"/>
      <w:lang w:val="fr-CA"/>
    </w:rPr>
  </w:style>
  <w:style w:type="paragraph" w:styleId="Quote">
    <w:name w:val="Quote"/>
    <w:aliases w:val="Blockquote"/>
    <w:basedOn w:val="Normal"/>
    <w:next w:val="Normal"/>
    <w:link w:val="QuoteChar"/>
    <w:uiPriority w:val="29"/>
    <w:qFormat/>
    <w:rsid w:val="00FE4D73"/>
    <w:pPr>
      <w:pBdr>
        <w:left w:val="single" w:sz="36" w:space="12" w:color="AECFD3" w:themeColor="accent3" w:themeTint="66"/>
      </w:pBdr>
      <w:spacing w:before="200" w:after="160"/>
      <w:ind w:left="360"/>
    </w:pPr>
    <w:rPr>
      <w:iCs/>
      <w:color w:val="404040" w:themeColor="text1" w:themeTint="BF"/>
    </w:rPr>
  </w:style>
  <w:style w:type="character" w:customStyle="1" w:styleId="QuoteChar">
    <w:name w:val="Quote Char"/>
    <w:aliases w:val="Blockquote Char"/>
    <w:basedOn w:val="DefaultParagraphFont"/>
    <w:link w:val="Quote"/>
    <w:uiPriority w:val="29"/>
    <w:rsid w:val="00FE4D73"/>
    <w:rPr>
      <w:rFonts w:ascii="Aptos" w:hAnsi="Aptos"/>
      <w:iCs/>
      <w:color w:val="404040" w:themeColor="text1" w:themeTint="BF"/>
      <w:sz w:val="26"/>
    </w:rPr>
  </w:style>
  <w:style w:type="paragraph" w:customStyle="1" w:styleId="Alert-type-success">
    <w:name w:val="Alert-type-success"/>
    <w:basedOn w:val="Normal"/>
    <w:link w:val="Alert-type-successChar"/>
    <w:qFormat/>
    <w:rsid w:val="007D47D5"/>
    <w:pPr>
      <w:pBdr>
        <w:top w:val="single" w:sz="8" w:space="8" w:color="467C81" w:themeColor="accent3"/>
        <w:left w:val="single" w:sz="48" w:space="8" w:color="467C81" w:themeColor="accent3"/>
        <w:bottom w:val="single" w:sz="8" w:space="8" w:color="467C81" w:themeColor="accent3"/>
        <w:right w:val="single" w:sz="8" w:space="8" w:color="467C81" w:themeColor="accent3"/>
      </w:pBdr>
      <w:shd w:val="clear" w:color="auto" w:fill="AECFD3" w:themeFill="accent3" w:themeFillTint="66"/>
      <w:ind w:left="187"/>
    </w:pPr>
  </w:style>
  <w:style w:type="paragraph" w:customStyle="1" w:styleId="Alert-type-info">
    <w:name w:val="Alert-type-info"/>
    <w:basedOn w:val="Normal"/>
    <w:link w:val="Alert-type-infoChar"/>
    <w:qFormat/>
    <w:rsid w:val="00CD5BAD"/>
    <w:pPr>
      <w:pBdr>
        <w:top w:val="single" w:sz="8" w:space="8" w:color="20393C" w:themeColor="accent6"/>
        <w:left w:val="single" w:sz="48" w:space="8" w:color="20393C" w:themeColor="accent6"/>
        <w:bottom w:val="single" w:sz="8" w:space="8" w:color="20393C" w:themeColor="accent6"/>
        <w:right w:val="single" w:sz="8" w:space="8" w:color="20393C" w:themeColor="accent6"/>
      </w:pBdr>
      <w:shd w:val="clear" w:color="auto" w:fill="E3EEF0" w:themeFill="accent6" w:themeFillTint="1A"/>
      <w:ind w:left="180"/>
    </w:pPr>
  </w:style>
  <w:style w:type="character" w:customStyle="1" w:styleId="Alert-type-successChar">
    <w:name w:val="Alert-type-success Char"/>
    <w:basedOn w:val="DefaultParagraphFont"/>
    <w:link w:val="Alert-type-success"/>
    <w:rsid w:val="007D47D5"/>
    <w:rPr>
      <w:rFonts w:ascii="Arial" w:hAnsi="Arial"/>
      <w:sz w:val="24"/>
      <w:shd w:val="clear" w:color="auto" w:fill="AECFD3" w:themeFill="accent3" w:themeFillTint="66"/>
      <w:lang w:val="fr-CA"/>
    </w:rPr>
  </w:style>
  <w:style w:type="paragraph" w:customStyle="1" w:styleId="Alert-type-warning">
    <w:name w:val="Alert-type-warning"/>
    <w:basedOn w:val="Normal"/>
    <w:link w:val="Alert-type-warningChar"/>
    <w:qFormat/>
    <w:rsid w:val="00181401"/>
    <w:pPr>
      <w:pBdr>
        <w:left w:val="single" w:sz="48" w:space="8" w:color="8F5629" w:themeColor="accent2"/>
        <w:bottom w:val="single" w:sz="8" w:space="8" w:color="8F5629" w:themeColor="accent2"/>
        <w:right w:val="single" w:sz="8" w:space="8" w:color="8F5629" w:themeColor="accent2"/>
      </w:pBdr>
      <w:shd w:val="clear" w:color="auto" w:fill="E2B999" w:themeFill="accent2" w:themeFillTint="66"/>
      <w:ind w:left="180"/>
    </w:pPr>
  </w:style>
  <w:style w:type="character" w:customStyle="1" w:styleId="Alert-type-infoChar">
    <w:name w:val="Alert-type-info Char"/>
    <w:basedOn w:val="Alert-type-successChar"/>
    <w:link w:val="Alert-type-info"/>
    <w:rsid w:val="00CD5BAD"/>
    <w:rPr>
      <w:rFonts w:ascii="Aptos" w:hAnsi="Aptos"/>
      <w:sz w:val="26"/>
      <w:shd w:val="clear" w:color="auto" w:fill="E3EEF0" w:themeFill="accent6" w:themeFillTint="1A"/>
      <w:lang w:val="fr-CA"/>
    </w:rPr>
  </w:style>
  <w:style w:type="paragraph" w:customStyle="1" w:styleId="Alert-type-danger">
    <w:name w:val="Alert-type-danger"/>
    <w:basedOn w:val="Normal"/>
    <w:link w:val="Alert-type-dangerChar"/>
    <w:qFormat/>
    <w:rsid w:val="008C3A80"/>
    <w:pPr>
      <w:pBdr>
        <w:left w:val="single" w:sz="48" w:space="8" w:color="3A5A88" w:themeColor="accent1"/>
        <w:bottom w:val="single" w:sz="8" w:space="8" w:color="3A5A88" w:themeColor="accent1"/>
        <w:right w:val="single" w:sz="8" w:space="8" w:color="3A5A88" w:themeColor="accent1"/>
      </w:pBdr>
      <w:shd w:val="clear" w:color="auto" w:fill="D2DCEC" w:themeFill="accent1" w:themeFillTint="33"/>
      <w:ind w:left="187"/>
    </w:pPr>
  </w:style>
  <w:style w:type="character" w:customStyle="1" w:styleId="Alert-type-warningChar">
    <w:name w:val="Alert-type-warning Char"/>
    <w:basedOn w:val="Alert-type-infoChar"/>
    <w:link w:val="Alert-type-warning"/>
    <w:rsid w:val="00181401"/>
    <w:rPr>
      <w:rFonts w:ascii="Aptos" w:hAnsi="Aptos"/>
      <w:sz w:val="26"/>
      <w:shd w:val="clear" w:color="auto" w:fill="E2B999" w:themeFill="accent2" w:themeFillTint="66"/>
      <w:lang w:val="fr-CA"/>
    </w:rPr>
  </w:style>
  <w:style w:type="character" w:customStyle="1" w:styleId="Alert-type-dangerChar">
    <w:name w:val="Alert-type-danger Char"/>
    <w:basedOn w:val="Alert-type-infoChar"/>
    <w:link w:val="Alert-type-danger"/>
    <w:rsid w:val="008C3A80"/>
    <w:rPr>
      <w:rFonts w:ascii="Aptos" w:hAnsi="Aptos"/>
      <w:sz w:val="26"/>
      <w:shd w:val="clear" w:color="auto" w:fill="D2DCEC" w:themeFill="accent1" w:themeFillTint="33"/>
      <w:lang w:val="fr-CA"/>
    </w:rPr>
  </w:style>
  <w:style w:type="paragraph" w:customStyle="1" w:styleId="KeyboardKey">
    <w:name w:val="Keyboard Key"/>
    <w:basedOn w:val="Normal"/>
    <w:link w:val="KeyboardKeyChar"/>
    <w:qFormat/>
    <w:rsid w:val="005151BD"/>
    <w:pPr>
      <w:shd w:val="clear" w:color="auto" w:fill="000000" w:themeFill="text1"/>
    </w:pPr>
    <w:rPr>
      <w:rFonts w:ascii="Courier New" w:hAnsi="Courier New"/>
      <w:b/>
      <w:bCs/>
      <w:color w:val="FFFFFF" w:themeColor="background1"/>
      <w:bdr w:val="single" w:sz="2" w:space="0" w:color="000000" w:themeColor="text1"/>
      <w:shd w:val="clear" w:color="auto" w:fill="000000" w:themeFill="text1"/>
    </w:rPr>
  </w:style>
  <w:style w:type="character" w:customStyle="1" w:styleId="KeyboardKeyChar">
    <w:name w:val="Keyboard Key Char"/>
    <w:basedOn w:val="DefaultParagraphFont"/>
    <w:link w:val="KeyboardKey"/>
    <w:rsid w:val="005151BD"/>
    <w:rPr>
      <w:rFonts w:ascii="Courier New" w:hAnsi="Courier New"/>
      <w:b/>
      <w:bCs/>
      <w:color w:val="FFFFFF" w:themeColor="background1"/>
      <w:bdr w:val="single" w:sz="2" w:space="0" w:color="000000" w:themeColor="text1"/>
      <w:shd w:val="clear" w:color="auto" w:fill="000000" w:themeFill="text1"/>
    </w:rPr>
  </w:style>
  <w:style w:type="paragraph" w:customStyle="1" w:styleId="ExpandHideHeader">
    <w:name w:val="Expand Hide Header"/>
    <w:basedOn w:val="PanelTitle"/>
    <w:link w:val="ExpandHideHeaderChar"/>
    <w:rsid w:val="00872D04"/>
    <w:pPr>
      <w:numPr>
        <w:numId w:val="1"/>
      </w:numPr>
      <w:shd w:val="clear" w:color="auto" w:fill="auto"/>
      <w:spacing w:before="0"/>
      <w:ind w:left="360"/>
    </w:pPr>
  </w:style>
  <w:style w:type="paragraph" w:customStyle="1" w:styleId="ExpandHideContent">
    <w:name w:val="Expand Hide Content"/>
    <w:basedOn w:val="PanelBody"/>
    <w:link w:val="ExpandHideContentChar"/>
    <w:rsid w:val="00872D04"/>
    <w:pPr>
      <w:spacing w:after="0"/>
    </w:pPr>
  </w:style>
  <w:style w:type="character" w:customStyle="1" w:styleId="ExpandHideHeaderChar">
    <w:name w:val="Expand Hide Header Char"/>
    <w:basedOn w:val="PanelTitleChar"/>
    <w:link w:val="ExpandHideHeader"/>
    <w:rsid w:val="00872D04"/>
    <w:rPr>
      <w:rFonts w:ascii="Aptos SemiBold" w:hAnsi="Aptos SemiBold"/>
      <w:b/>
      <w:sz w:val="32"/>
      <w:shd w:val="clear" w:color="auto" w:fill="F2F2F2" w:themeFill="background1" w:themeFillShade="F2"/>
      <w:lang w:val="fr-CA"/>
    </w:rPr>
  </w:style>
  <w:style w:type="table" w:styleId="TableGrid">
    <w:name w:val="Table Grid"/>
    <w:basedOn w:val="TableNormal"/>
    <w:uiPriority w:val="39"/>
    <w:rsid w:val="002D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HideContentChar">
    <w:name w:val="Expand Hide Content Char"/>
    <w:basedOn w:val="PanelBodyChar"/>
    <w:link w:val="ExpandHideContent"/>
    <w:rsid w:val="00872D04"/>
    <w:rPr>
      <w:rFonts w:ascii="Arial" w:hAnsi="Arial"/>
      <w:lang w:val="fr-CA"/>
    </w:rPr>
  </w:style>
  <w:style w:type="paragraph" w:styleId="FootnoteText">
    <w:name w:val="footnote text"/>
    <w:basedOn w:val="Normal"/>
    <w:link w:val="FootnoteTextChar"/>
    <w:uiPriority w:val="99"/>
    <w:semiHidden/>
    <w:unhideWhenUsed/>
    <w:rsid w:val="004137B4"/>
    <w:pPr>
      <w:spacing w:after="0" w:line="312" w:lineRule="auto"/>
    </w:pPr>
    <w:rPr>
      <w:szCs w:val="20"/>
    </w:rPr>
  </w:style>
  <w:style w:type="character" w:customStyle="1" w:styleId="FootnoteTextChar">
    <w:name w:val="Footnote Text Char"/>
    <w:basedOn w:val="DefaultParagraphFont"/>
    <w:link w:val="FootnoteText"/>
    <w:uiPriority w:val="99"/>
    <w:semiHidden/>
    <w:rsid w:val="004137B4"/>
    <w:rPr>
      <w:rFonts w:ascii="Arial" w:hAnsi="Arial"/>
      <w:sz w:val="24"/>
      <w:szCs w:val="20"/>
    </w:rPr>
  </w:style>
  <w:style w:type="character" w:styleId="FootnoteReference">
    <w:name w:val="footnote reference"/>
    <w:basedOn w:val="DefaultParagraphFont"/>
    <w:uiPriority w:val="99"/>
    <w:semiHidden/>
    <w:unhideWhenUsed/>
    <w:rsid w:val="00A61E2A"/>
    <w:rPr>
      <w:vertAlign w:val="superscript"/>
    </w:rPr>
  </w:style>
  <w:style w:type="paragraph" w:styleId="EndnoteText">
    <w:name w:val="endnote text"/>
    <w:basedOn w:val="Normal"/>
    <w:link w:val="EndnoteTextChar"/>
    <w:uiPriority w:val="99"/>
    <w:semiHidden/>
    <w:unhideWhenUsed/>
    <w:rsid w:val="00A61E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1E2A"/>
    <w:rPr>
      <w:rFonts w:ascii="Arial" w:hAnsi="Arial"/>
      <w:sz w:val="20"/>
      <w:szCs w:val="20"/>
    </w:rPr>
  </w:style>
  <w:style w:type="character" w:styleId="EndnoteReference">
    <w:name w:val="endnote reference"/>
    <w:basedOn w:val="DefaultParagraphFont"/>
    <w:uiPriority w:val="99"/>
    <w:semiHidden/>
    <w:unhideWhenUsed/>
    <w:rsid w:val="00A61E2A"/>
    <w:rPr>
      <w:vertAlign w:val="superscript"/>
    </w:rPr>
  </w:style>
  <w:style w:type="table" w:customStyle="1" w:styleId="WebTable">
    <w:name w:val="Web Table"/>
    <w:basedOn w:val="TableNormal"/>
    <w:uiPriority w:val="99"/>
    <w:rsid w:val="00904759"/>
    <w:pPr>
      <w:spacing w:before="120" w:after="240" w:line="300" w:lineRule="auto"/>
    </w:pPr>
    <w:rPr>
      <w:rFonts w:ascii="Aptos" w:hAnsi="Aptos"/>
    </w:rPr>
    <w:tblPr>
      <w:tblStyleRowBandSize w:val="1"/>
      <w:tblBorders>
        <w:insideH w:val="single" w:sz="2" w:space="0" w:color="808080" w:themeColor="background1" w:themeShade="80"/>
      </w:tblBorders>
    </w:tblPr>
    <w:trPr>
      <w:tblHeader/>
    </w:trPr>
    <w:tcPr>
      <w:vAlign w:val="center"/>
    </w:tcPr>
    <w:tblStylePr w:type="firstRow">
      <w:rPr>
        <w:rFonts w:ascii="Arial" w:hAnsi="Arial"/>
        <w:b/>
        <w:sz w:val="22"/>
      </w:rPr>
      <w:tblPr/>
      <w:tcPr>
        <w:tcBorders>
          <w:top w:val="nil"/>
          <w:left w:val="nil"/>
          <w:bottom w:val="single" w:sz="18" w:space="0" w:color="A6A6A6" w:themeColor="background1" w:themeShade="A6"/>
          <w:right w:val="nil"/>
          <w:insideH w:val="nil"/>
          <w:insideV w:val="nil"/>
          <w:tl2br w:val="nil"/>
          <w:tr2bl w:val="nil"/>
        </w:tcBorders>
      </w:tcPr>
    </w:tblStylePr>
    <w:tblStylePr w:type="firstCol">
      <w:rPr>
        <w:b/>
      </w:rPr>
    </w:tblStylePr>
  </w:style>
  <w:style w:type="paragraph" w:customStyle="1" w:styleId="TableCaption">
    <w:name w:val="Table Caption"/>
    <w:basedOn w:val="Heading4"/>
    <w:link w:val="TableCaptionChar"/>
    <w:qFormat/>
    <w:rsid w:val="00791CA9"/>
    <w:rPr>
      <w:color w:val="595959" w:themeColor="text1" w:themeTint="A6"/>
    </w:rPr>
  </w:style>
  <w:style w:type="paragraph" w:styleId="Title">
    <w:name w:val="Title"/>
    <w:aliases w:val="Table caption"/>
    <w:basedOn w:val="Normal"/>
    <w:next w:val="Normal"/>
    <w:link w:val="TitleChar"/>
    <w:uiPriority w:val="10"/>
    <w:qFormat/>
    <w:rsid w:val="00F2195E"/>
    <w:pPr>
      <w:keepNext/>
      <w:spacing w:line="288" w:lineRule="auto"/>
      <w:contextualSpacing/>
    </w:pPr>
    <w:rPr>
      <w:rFonts w:eastAsiaTheme="majorEastAsia" w:cstheme="majorBidi"/>
      <w:b/>
      <w:spacing w:val="2"/>
      <w:kern w:val="28"/>
      <w:szCs w:val="56"/>
    </w:rPr>
  </w:style>
  <w:style w:type="character" w:customStyle="1" w:styleId="TableCaptionChar">
    <w:name w:val="Table Caption Char"/>
    <w:basedOn w:val="Heading4Char"/>
    <w:link w:val="TableCaption"/>
    <w:rsid w:val="00791CA9"/>
    <w:rPr>
      <w:rFonts w:ascii="Arial" w:eastAsiaTheme="majorEastAsia" w:hAnsi="Arial" w:cstheme="majorBidi"/>
      <w:b w:val="0"/>
      <w:color w:val="595959" w:themeColor="text1" w:themeTint="A6"/>
      <w:sz w:val="24"/>
      <w:szCs w:val="24"/>
      <w:lang w:val="fr-CA"/>
    </w:rPr>
  </w:style>
  <w:style w:type="character" w:customStyle="1" w:styleId="TitleChar">
    <w:name w:val="Title Char"/>
    <w:aliases w:val="Table caption Char"/>
    <w:basedOn w:val="DefaultParagraphFont"/>
    <w:link w:val="Title"/>
    <w:uiPriority w:val="10"/>
    <w:rsid w:val="00F2195E"/>
    <w:rPr>
      <w:rFonts w:ascii="Aptos" w:eastAsiaTheme="majorEastAsia" w:hAnsi="Aptos" w:cstheme="majorBidi"/>
      <w:b/>
      <w:spacing w:val="2"/>
      <w:kern w:val="28"/>
      <w:sz w:val="26"/>
      <w:szCs w:val="56"/>
    </w:rPr>
  </w:style>
  <w:style w:type="character" w:customStyle="1" w:styleId="Heading5Char">
    <w:name w:val="Heading 5 Char"/>
    <w:basedOn w:val="DefaultParagraphFont"/>
    <w:link w:val="Heading5"/>
    <w:uiPriority w:val="9"/>
    <w:rsid w:val="000C0F87"/>
    <w:rPr>
      <w:rFonts w:ascii="Aptos SemiBold" w:eastAsiaTheme="majorEastAsia" w:hAnsi="Aptos SemiBold" w:cstheme="majorBidi"/>
      <w:b/>
      <w:sz w:val="28"/>
    </w:rPr>
  </w:style>
  <w:style w:type="character" w:customStyle="1" w:styleId="Heading6Char">
    <w:name w:val="Heading 6 Char"/>
    <w:basedOn w:val="DefaultParagraphFont"/>
    <w:link w:val="Heading6"/>
    <w:uiPriority w:val="9"/>
    <w:rsid w:val="0091492E"/>
    <w:rPr>
      <w:rFonts w:ascii="Aptos" w:eastAsiaTheme="majorEastAsia" w:hAnsi="Aptos" w:cstheme="majorBidi"/>
      <w:b/>
      <w:sz w:val="26"/>
    </w:rPr>
  </w:style>
  <w:style w:type="character" w:customStyle="1" w:styleId="Heading7Char">
    <w:name w:val="Heading 7 Char"/>
    <w:basedOn w:val="DefaultParagraphFont"/>
    <w:link w:val="Heading7"/>
    <w:uiPriority w:val="9"/>
    <w:rsid w:val="0091492E"/>
    <w:rPr>
      <w:rFonts w:ascii="Aptos SemiBold" w:eastAsiaTheme="majorEastAsia" w:hAnsi="Aptos SemiBold" w:cstheme="majorBidi"/>
      <w:iCs/>
      <w:sz w:val="26"/>
    </w:rPr>
  </w:style>
  <w:style w:type="character" w:customStyle="1" w:styleId="Heading8Char">
    <w:name w:val="Heading 8 Char"/>
    <w:basedOn w:val="DefaultParagraphFont"/>
    <w:link w:val="Heading8"/>
    <w:uiPriority w:val="9"/>
    <w:semiHidden/>
    <w:rsid w:val="00C40E75"/>
    <w:rPr>
      <w:rFonts w:ascii="Arial" w:eastAsiaTheme="majorEastAsia" w:hAnsi="Arial" w:cstheme="majorBidi"/>
      <w:b/>
      <w:color w:val="272727" w:themeColor="text1" w:themeTint="D8"/>
      <w:szCs w:val="21"/>
    </w:rPr>
  </w:style>
  <w:style w:type="table" w:styleId="GridTable2">
    <w:name w:val="Grid Table 2"/>
    <w:basedOn w:val="TableNormal"/>
    <w:uiPriority w:val="47"/>
    <w:rsid w:val="004A0F8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nel-blue">
    <w:name w:val="Panel-blue"/>
    <w:basedOn w:val="IntenseQuote"/>
    <w:link w:val="Panel-blueChar"/>
    <w:qFormat/>
    <w:rsid w:val="00FE4D73"/>
    <w:pPr>
      <w:pBdr>
        <w:left w:val="single" w:sz="8" w:space="8" w:color="3A5A88" w:themeColor="accent1"/>
        <w:bottom w:val="single" w:sz="8" w:space="8" w:color="3A5A88" w:themeColor="accent1"/>
        <w:right w:val="single" w:sz="8" w:space="8" w:color="3A5A88" w:themeColor="accent1"/>
      </w:pBdr>
      <w:shd w:val="clear" w:color="auto" w:fill="auto"/>
    </w:pPr>
  </w:style>
  <w:style w:type="paragraph" w:customStyle="1" w:styleId="Panel-Orange-brown">
    <w:name w:val="Panel-Orange-brown"/>
    <w:basedOn w:val="PanelNoTitle"/>
    <w:link w:val="Panel-Orange-brownCar"/>
    <w:qFormat/>
    <w:rsid w:val="00FE4D73"/>
    <w:pPr>
      <w:pBdr>
        <w:left w:val="single" w:sz="8" w:space="8" w:color="8F5629" w:themeColor="accent2"/>
        <w:bottom w:val="single" w:sz="8" w:space="8" w:color="8F5629" w:themeColor="accent2"/>
        <w:right w:val="single" w:sz="8" w:space="8" w:color="8F5629" w:themeColor="accent2"/>
      </w:pBdr>
      <w:spacing w:before="240"/>
    </w:pPr>
  </w:style>
  <w:style w:type="character" w:customStyle="1" w:styleId="Panel-blueChar">
    <w:name w:val="Panel-blue Char"/>
    <w:basedOn w:val="IntenseQuoteChar"/>
    <w:link w:val="Panel-blue"/>
    <w:rsid w:val="00FE4D73"/>
    <w:rPr>
      <w:rFonts w:ascii="Aptos" w:hAnsi="Aptos"/>
      <w:iCs/>
      <w:color w:val="000000" w:themeColor="text1"/>
      <w:sz w:val="26"/>
      <w:shd w:val="clear" w:color="auto" w:fill="F2F2F2" w:themeFill="background1" w:themeFillShade="F2"/>
      <w:lang w:val="fr-CA"/>
    </w:rPr>
  </w:style>
  <w:style w:type="paragraph" w:customStyle="1" w:styleId="Panel-green">
    <w:name w:val="Panel-green"/>
    <w:basedOn w:val="Panel-blue"/>
    <w:link w:val="Panel-greenChar"/>
    <w:qFormat/>
    <w:rsid w:val="0051367A"/>
    <w:pPr>
      <w:pBdr>
        <w:left w:val="single" w:sz="8" w:space="8" w:color="467C81" w:themeColor="accent3"/>
        <w:bottom w:val="single" w:sz="8" w:space="8" w:color="467C81" w:themeColor="accent3"/>
        <w:right w:val="single" w:sz="8" w:space="8" w:color="467C81" w:themeColor="accent3"/>
      </w:pBdr>
    </w:pPr>
  </w:style>
  <w:style w:type="character" w:customStyle="1" w:styleId="Panel-Orange-brownCar">
    <w:name w:val="Panel-Orange-brown Car"/>
    <w:basedOn w:val="PanelNoTitleChar"/>
    <w:link w:val="Panel-Orange-brown"/>
    <w:rsid w:val="00FE4D73"/>
    <w:rPr>
      <w:rFonts w:ascii="Aptos" w:hAnsi="Aptos"/>
      <w:sz w:val="26"/>
      <w:lang w:val="fr-CA"/>
    </w:rPr>
  </w:style>
  <w:style w:type="character" w:customStyle="1" w:styleId="Panel-greenChar">
    <w:name w:val="Panel-green Char"/>
    <w:basedOn w:val="Panel-blueChar"/>
    <w:link w:val="Panel-green"/>
    <w:rsid w:val="0051367A"/>
    <w:rPr>
      <w:rFonts w:ascii="Aptos" w:hAnsi="Aptos"/>
      <w:iCs/>
      <w:color w:val="000000" w:themeColor="text1"/>
      <w:sz w:val="26"/>
      <w:shd w:val="clear" w:color="auto" w:fill="F2F2F2" w:themeFill="background1" w:themeFillShade="F2"/>
      <w:lang w:val="fr-CA"/>
    </w:rPr>
  </w:style>
  <w:style w:type="paragraph" w:styleId="Subtitle">
    <w:name w:val="Subtitle"/>
    <w:basedOn w:val="Normal"/>
    <w:next w:val="Normal"/>
    <w:link w:val="SubtitleChar"/>
    <w:uiPriority w:val="11"/>
    <w:qFormat/>
    <w:rsid w:val="00014054"/>
    <w:pPr>
      <w:numPr>
        <w:ilvl w:val="1"/>
      </w:numPr>
      <w:spacing w:after="160"/>
    </w:pPr>
    <w:rPr>
      <w:rFonts w:eastAsiaTheme="minorEastAsia"/>
      <w:color w:val="0D0D0D" w:themeColor="text1" w:themeTint="F2"/>
      <w:sz w:val="36"/>
    </w:rPr>
  </w:style>
  <w:style w:type="character" w:customStyle="1" w:styleId="SubtitleChar">
    <w:name w:val="Subtitle Char"/>
    <w:basedOn w:val="DefaultParagraphFont"/>
    <w:link w:val="Subtitle"/>
    <w:uiPriority w:val="11"/>
    <w:rsid w:val="00014054"/>
    <w:rPr>
      <w:rFonts w:ascii="Arial" w:eastAsiaTheme="minorEastAsia" w:hAnsi="Arial"/>
      <w:color w:val="0D0D0D" w:themeColor="text1" w:themeTint="F2"/>
      <w:sz w:val="36"/>
      <w:lang w:val="fr-CA"/>
    </w:rPr>
  </w:style>
  <w:style w:type="paragraph" w:customStyle="1" w:styleId="DateDetails">
    <w:name w:val="DateDetails"/>
    <w:basedOn w:val="Subtitle"/>
    <w:qFormat/>
    <w:rsid w:val="001402DB"/>
    <w:pPr>
      <w:spacing w:before="320"/>
    </w:pPr>
    <w:rPr>
      <w:color w:val="595959" w:themeColor="text1" w:themeTint="A6"/>
      <w:sz w:val="28"/>
      <w:szCs w:val="18"/>
    </w:rPr>
  </w:style>
  <w:style w:type="paragraph" w:customStyle="1" w:styleId="ToCbody">
    <w:name w:val="ToC body"/>
    <w:basedOn w:val="PanelBody"/>
    <w:qFormat/>
    <w:rsid w:val="0041124E"/>
    <w:pPr>
      <w:pBdr>
        <w:left w:val="none" w:sz="0" w:space="0" w:color="auto"/>
        <w:bottom w:val="none" w:sz="0" w:space="0" w:color="auto"/>
        <w:right w:val="none" w:sz="0" w:space="0" w:color="auto"/>
      </w:pBdr>
      <w:spacing w:before="120" w:after="0" w:line="312" w:lineRule="auto"/>
    </w:pPr>
    <w:rPr>
      <w:sz w:val="22"/>
    </w:rPr>
  </w:style>
  <w:style w:type="paragraph" w:customStyle="1" w:styleId="ToChead">
    <w:name w:val="ToC head"/>
    <w:basedOn w:val="PanelTitle"/>
    <w:qFormat/>
    <w:rsid w:val="0041124E"/>
    <w:pPr>
      <w:pBdr>
        <w:top w:val="none" w:sz="0" w:space="0" w:color="auto"/>
        <w:left w:val="none" w:sz="0" w:space="0" w:color="auto"/>
        <w:bottom w:val="single" w:sz="4" w:space="2" w:color="595959" w:themeColor="text1" w:themeTint="A6"/>
        <w:right w:val="none" w:sz="0" w:space="0" w:color="auto"/>
      </w:pBdr>
      <w:shd w:val="clear" w:color="auto" w:fill="FFFFFF" w:themeFill="background1"/>
    </w:pPr>
  </w:style>
  <w:style w:type="paragraph" w:customStyle="1" w:styleId="Tablebody">
    <w:name w:val="Table body"/>
    <w:basedOn w:val="Normal"/>
    <w:qFormat/>
    <w:rsid w:val="0041124E"/>
    <w:pPr>
      <w:spacing w:before="120" w:after="0"/>
    </w:pPr>
  </w:style>
  <w:style w:type="paragraph" w:customStyle="1" w:styleId="Tablehead">
    <w:name w:val="Table head"/>
    <w:basedOn w:val="Normal"/>
    <w:qFormat/>
    <w:rsid w:val="00181401"/>
    <w:pPr>
      <w:spacing w:before="120" w:after="0"/>
    </w:pPr>
    <w:rPr>
      <w:rFonts w:ascii="Aptos SemiBold" w:hAnsi="Aptos SemiBold"/>
      <w:b/>
      <w:color w:val="FFFFFF" w:themeColor="background1"/>
    </w:rPr>
  </w:style>
  <w:style w:type="character" w:styleId="FollowedHyperlink">
    <w:name w:val="FollowedHyperlink"/>
    <w:basedOn w:val="DefaultParagraphFont"/>
    <w:uiPriority w:val="99"/>
    <w:semiHidden/>
    <w:unhideWhenUsed/>
    <w:rsid w:val="00C804A3"/>
    <w:rPr>
      <w:color w:val="954F72" w:themeColor="followedHyperlink"/>
      <w:u w:val="single"/>
    </w:rPr>
  </w:style>
  <w:style w:type="character" w:customStyle="1" w:styleId="ListParagraphChar">
    <w:name w:val="List Paragraph Char"/>
    <w:aliases w:val="3 Char,Bullet 1 Char,Bullet Points Char,CV text Char,Dot pt Char,F5 List Paragraph Char,Indicator Text Char,L Char,List Paragraph Char Char Char Char,List Paragraph1 Char,List Paragraph11 Char,List Paragraph2 Char,Liste 1 Char"/>
    <w:link w:val="ListParagraph"/>
    <w:uiPriority w:val="34"/>
    <w:qFormat/>
    <w:locked/>
    <w:rsid w:val="00E743B0"/>
    <w:rPr>
      <w:rFonts w:ascii="Aptos" w:hAnsi="Aptos"/>
      <w:sz w:val="26"/>
      <w:lang w:val="fr-CA"/>
    </w:rPr>
  </w:style>
  <w:style w:type="character" w:customStyle="1" w:styleId="ui-provider">
    <w:name w:val="ui-provider"/>
    <w:basedOn w:val="DefaultParagraphFont"/>
    <w:rsid w:val="003D2075"/>
  </w:style>
  <w:style w:type="paragraph" w:styleId="ListBullet">
    <w:name w:val="List Bullet"/>
    <w:basedOn w:val="Normal"/>
    <w:uiPriority w:val="99"/>
    <w:unhideWhenUsed/>
    <w:rsid w:val="009A6843"/>
    <w:pPr>
      <w:numPr>
        <w:numId w:val="3"/>
      </w:numPr>
      <w:contextualSpacing/>
    </w:pPr>
  </w:style>
  <w:style w:type="character" w:styleId="Strong">
    <w:name w:val="Strong"/>
    <w:basedOn w:val="DefaultParagraphFont"/>
    <w:uiPriority w:val="22"/>
    <w:qFormat/>
    <w:locked/>
    <w:rsid w:val="009A6843"/>
    <w:rPr>
      <w:b/>
      <w:bCs/>
    </w:rPr>
  </w:style>
  <w:style w:type="paragraph" w:customStyle="1" w:styleId="IntrotoList">
    <w:name w:val="Intro to List"/>
    <w:basedOn w:val="Normal"/>
    <w:qFormat/>
    <w:rsid w:val="006361A3"/>
    <w:pPr>
      <w:spacing w:before="120" w:after="0"/>
    </w:pPr>
  </w:style>
  <w:style w:type="table" w:customStyle="1" w:styleId="Style1">
    <w:name w:val="Style1"/>
    <w:basedOn w:val="TableNormal"/>
    <w:uiPriority w:val="99"/>
    <w:rsid w:val="006361A3"/>
    <w:pPr>
      <w:spacing w:before="120" w:after="120" w:line="240" w:lineRule="auto"/>
    </w:pPr>
    <w:rPr>
      <w:rFonts w:ascii="Aptos" w:hAnsi="Aptos"/>
    </w:rPr>
    <w:tblPr>
      <w:tblBorders>
        <w:top w:val="single" w:sz="18" w:space="0" w:color="3A5A88" w:themeColor="accent1"/>
        <w:bottom w:val="single" w:sz="18" w:space="0" w:color="3A5A88" w:themeColor="accent1"/>
        <w:insideH w:val="single" w:sz="8" w:space="0" w:color="3A5A88" w:themeColor="accent1"/>
      </w:tblBorders>
    </w:tblPr>
    <w:trPr>
      <w:tblHeader/>
    </w:trPr>
    <w:tcPr>
      <w:vAlign w:val="center"/>
    </w:tcPr>
  </w:style>
  <w:style w:type="table" w:styleId="ListTable3-Accent5">
    <w:name w:val="List Table 3 Accent 5"/>
    <w:basedOn w:val="TableNormal"/>
    <w:uiPriority w:val="48"/>
    <w:rsid w:val="00AB3CEE"/>
    <w:pPr>
      <w:spacing w:after="0" w:line="240" w:lineRule="auto"/>
    </w:pPr>
    <w:tblPr>
      <w:tblStyleRowBandSize w:val="1"/>
      <w:tblStyleColBandSize w:val="1"/>
      <w:tblBorders>
        <w:top w:val="single" w:sz="4" w:space="0" w:color="6175AE" w:themeColor="accent5"/>
        <w:left w:val="single" w:sz="4" w:space="0" w:color="6175AE" w:themeColor="accent5"/>
        <w:bottom w:val="single" w:sz="4" w:space="0" w:color="6175AE" w:themeColor="accent5"/>
        <w:right w:val="single" w:sz="4" w:space="0" w:color="6175AE" w:themeColor="accent5"/>
      </w:tblBorders>
    </w:tblPr>
    <w:tblStylePr w:type="firstRow">
      <w:rPr>
        <w:b/>
        <w:bCs/>
        <w:color w:val="FFFFFF" w:themeColor="background1"/>
      </w:rPr>
      <w:tblPr/>
      <w:tcPr>
        <w:shd w:val="clear" w:color="auto" w:fill="6175AE" w:themeFill="accent5"/>
      </w:tcPr>
    </w:tblStylePr>
    <w:tblStylePr w:type="lastRow">
      <w:rPr>
        <w:b/>
        <w:bCs/>
      </w:rPr>
      <w:tblPr/>
      <w:tcPr>
        <w:tcBorders>
          <w:top w:val="double" w:sz="4" w:space="0" w:color="6175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75AE" w:themeColor="accent5"/>
          <w:right w:val="single" w:sz="4" w:space="0" w:color="6175AE" w:themeColor="accent5"/>
        </w:tcBorders>
      </w:tcPr>
    </w:tblStylePr>
    <w:tblStylePr w:type="band1Horz">
      <w:tblPr/>
      <w:tcPr>
        <w:tcBorders>
          <w:top w:val="single" w:sz="4" w:space="0" w:color="6175AE" w:themeColor="accent5"/>
          <w:bottom w:val="single" w:sz="4" w:space="0" w:color="6175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75AE" w:themeColor="accent5"/>
          <w:left w:val="nil"/>
        </w:tcBorders>
      </w:tcPr>
    </w:tblStylePr>
    <w:tblStylePr w:type="swCell">
      <w:tblPr/>
      <w:tcPr>
        <w:tcBorders>
          <w:top w:val="double" w:sz="4" w:space="0" w:color="6175AE" w:themeColor="accent5"/>
          <w:right w:val="nil"/>
        </w:tcBorders>
      </w:tcPr>
    </w:tblStylePr>
  </w:style>
  <w:style w:type="paragraph" w:customStyle="1" w:styleId="BoxheadingWarning">
    <w:name w:val="Box heading Warning"/>
    <w:basedOn w:val="Normal"/>
    <w:qFormat/>
    <w:rsid w:val="008C3A80"/>
    <w:pPr>
      <w:pBdr>
        <w:top w:val="single" w:sz="8" w:space="8" w:color="8F5629" w:themeColor="accent2"/>
        <w:left w:val="single" w:sz="48" w:space="8" w:color="8F5629" w:themeColor="accent2"/>
        <w:right w:val="single" w:sz="8" w:space="8" w:color="8F5629" w:themeColor="accent2"/>
      </w:pBdr>
      <w:shd w:val="clear" w:color="auto" w:fill="E2B999" w:themeFill="accent2" w:themeFillTint="66"/>
      <w:spacing w:before="240" w:after="0"/>
      <w:ind w:left="187"/>
    </w:pPr>
    <w:rPr>
      <w:rFonts w:ascii="Aptos Display" w:hAnsi="Aptos Display"/>
      <w:b/>
      <w:sz w:val="34"/>
    </w:rPr>
  </w:style>
  <w:style w:type="paragraph" w:customStyle="1" w:styleId="BoxheadingDanger">
    <w:name w:val="Box heading Danger"/>
    <w:basedOn w:val="BoxheadingWarning"/>
    <w:qFormat/>
    <w:rsid w:val="008C3A80"/>
    <w:pPr>
      <w:pBdr>
        <w:top w:val="single" w:sz="8" w:space="8" w:color="3A5A88" w:themeColor="accent1"/>
        <w:left w:val="single" w:sz="48" w:space="8" w:color="3A5A88" w:themeColor="accent1"/>
        <w:right w:val="single" w:sz="8" w:space="8" w:color="3A5A88" w:themeColor="accent1"/>
      </w:pBdr>
      <w:shd w:val="clear" w:color="auto" w:fill="D2DCEC" w:themeFill="accent1" w:themeFillTint="33"/>
    </w:pPr>
  </w:style>
  <w:style w:type="paragraph" w:customStyle="1" w:styleId="BoxheadingSuccess">
    <w:name w:val="Box heading Success"/>
    <w:basedOn w:val="BoxheadingWarning"/>
    <w:qFormat/>
    <w:rsid w:val="008C3A80"/>
    <w:pPr>
      <w:pBdr>
        <w:top w:val="single" w:sz="8" w:space="8" w:color="467C81" w:themeColor="accent3"/>
        <w:left w:val="single" w:sz="48" w:space="8" w:color="467C81" w:themeColor="accent3"/>
        <w:bottom w:val="single" w:sz="8" w:space="8" w:color="467C81" w:themeColor="accent3"/>
        <w:right w:val="single" w:sz="8" w:space="8" w:color="467C81" w:themeColor="accent3"/>
      </w:pBdr>
      <w:shd w:val="clear" w:color="auto" w:fill="AECFD3" w:themeFill="accent3" w:themeFillTint="66"/>
      <w:ind w:left="180"/>
    </w:pPr>
  </w:style>
  <w:style w:type="paragraph" w:customStyle="1" w:styleId="BoxheadingInfo">
    <w:name w:val="Box heading Info"/>
    <w:basedOn w:val="BoxheadingWarning"/>
    <w:qFormat/>
    <w:rsid w:val="00CD5BAD"/>
    <w:pPr>
      <w:pBdr>
        <w:top w:val="single" w:sz="8" w:space="8" w:color="20393C" w:themeColor="accent6"/>
        <w:left w:val="single" w:sz="48" w:space="8" w:color="20393C" w:themeColor="accent6"/>
        <w:bottom w:val="single" w:sz="8" w:space="8" w:color="20393C" w:themeColor="accent6"/>
        <w:right w:val="single" w:sz="8" w:space="8" w:color="20393C" w:themeColor="accent6"/>
      </w:pBdr>
      <w:shd w:val="clear" w:color="auto" w:fill="E3EEF0" w:themeFill="accent6" w:themeFillTint="1A"/>
      <w:tabs>
        <w:tab w:val="left" w:pos="630"/>
      </w:tabs>
      <w:ind w:left="180"/>
    </w:pPr>
  </w:style>
  <w:style w:type="paragraph" w:customStyle="1" w:styleId="Panelheadinggrey">
    <w:name w:val="Panel heading grey"/>
    <w:basedOn w:val="Normal"/>
    <w:qFormat/>
    <w:rsid w:val="00FE4D73"/>
    <w:pPr>
      <w:pBdr>
        <w:top w:val="single" w:sz="8" w:space="8" w:color="auto"/>
        <w:left w:val="single" w:sz="8" w:space="8" w:color="auto"/>
        <w:right w:val="single" w:sz="8" w:space="8" w:color="auto"/>
      </w:pBdr>
      <w:shd w:val="clear" w:color="auto" w:fill="F2F2F2" w:themeFill="background1" w:themeFillShade="F2"/>
      <w:spacing w:after="0"/>
      <w:ind w:left="187"/>
    </w:pPr>
    <w:rPr>
      <w:rFonts w:ascii="Aptos Display" w:hAnsi="Aptos Display"/>
      <w:b/>
      <w:sz w:val="34"/>
    </w:rPr>
  </w:style>
  <w:style w:type="paragraph" w:customStyle="1" w:styleId="Panelheading">
    <w:name w:val="Panel heading"/>
    <w:basedOn w:val="Panelheadinggrey"/>
    <w:qFormat/>
    <w:rsid w:val="00FE4D73"/>
    <w:pPr>
      <w:pBdr>
        <w:top w:val="single" w:sz="8" w:space="8" w:color="595959" w:themeColor="text1" w:themeTint="A6"/>
        <w:left w:val="single" w:sz="8" w:space="8" w:color="595959" w:themeColor="text1" w:themeTint="A6"/>
        <w:right w:val="single" w:sz="8" w:space="8" w:color="595959" w:themeColor="text1" w:themeTint="A6"/>
      </w:pBdr>
      <w:shd w:val="clear" w:color="auto" w:fill="auto"/>
    </w:pPr>
  </w:style>
  <w:style w:type="paragraph" w:customStyle="1" w:styleId="PanelBlueHeading">
    <w:name w:val="Panel Blue Heading"/>
    <w:basedOn w:val="Panelheading"/>
    <w:qFormat/>
    <w:rsid w:val="00FE4D73"/>
    <w:pPr>
      <w:pBdr>
        <w:top w:val="single" w:sz="8" w:space="8" w:color="3A5A88" w:themeColor="accent1"/>
        <w:left w:val="single" w:sz="8" w:space="8" w:color="3A5A88" w:themeColor="accent1"/>
        <w:right w:val="single" w:sz="8" w:space="8" w:color="3A5A88" w:themeColor="accent1"/>
      </w:pBdr>
    </w:pPr>
    <w:rPr>
      <w:color w:val="3A5A88" w:themeColor="accent1"/>
    </w:rPr>
  </w:style>
  <w:style w:type="paragraph" w:customStyle="1" w:styleId="PanelOrange-brownheading">
    <w:name w:val="Panel Orange-brown heading"/>
    <w:basedOn w:val="Panelheading"/>
    <w:qFormat/>
    <w:rsid w:val="00FE4D73"/>
    <w:pPr>
      <w:pBdr>
        <w:top w:val="single" w:sz="8" w:space="8" w:color="8F5629" w:themeColor="accent2"/>
        <w:left w:val="single" w:sz="8" w:space="8" w:color="8F5629" w:themeColor="accent2"/>
        <w:right w:val="single" w:sz="8" w:space="8" w:color="8F5629" w:themeColor="accent2"/>
      </w:pBdr>
      <w:ind w:left="180"/>
    </w:pPr>
    <w:rPr>
      <w:color w:val="8F5629" w:themeColor="accent2"/>
    </w:rPr>
  </w:style>
  <w:style w:type="paragraph" w:customStyle="1" w:styleId="PanelGreenHeading">
    <w:name w:val="Panel Green Heading"/>
    <w:basedOn w:val="Panelheading"/>
    <w:qFormat/>
    <w:rsid w:val="0051367A"/>
    <w:pPr>
      <w:pBdr>
        <w:top w:val="single" w:sz="8" w:space="8" w:color="467C81" w:themeColor="accent3"/>
        <w:left w:val="single" w:sz="8" w:space="8" w:color="467C81" w:themeColor="accent3"/>
        <w:right w:val="single" w:sz="8" w:space="8" w:color="467C81" w:themeColor="accent3"/>
      </w:pBdr>
      <w:ind w:left="180"/>
    </w:pPr>
    <w:rPr>
      <w:color w:val="467C81" w:themeColor="accent3"/>
    </w:rPr>
  </w:style>
  <w:style w:type="table" w:styleId="GridTable4-Accent1">
    <w:name w:val="Grid Table 4 Accent 1"/>
    <w:basedOn w:val="TableNormal"/>
    <w:uiPriority w:val="49"/>
    <w:rsid w:val="00CD5BAD"/>
    <w:pPr>
      <w:spacing w:after="0" w:line="240" w:lineRule="auto"/>
    </w:pPr>
    <w:tblPr>
      <w:tblStyleRowBandSize w:val="1"/>
      <w:tblStyleColBandSize w:val="1"/>
      <w:tblBorders>
        <w:top w:val="single" w:sz="4" w:space="0" w:color="7A99C6" w:themeColor="accent1" w:themeTint="99"/>
        <w:left w:val="single" w:sz="4" w:space="0" w:color="7A99C6" w:themeColor="accent1" w:themeTint="99"/>
        <w:bottom w:val="single" w:sz="4" w:space="0" w:color="7A99C6" w:themeColor="accent1" w:themeTint="99"/>
        <w:right w:val="single" w:sz="4" w:space="0" w:color="7A99C6" w:themeColor="accent1" w:themeTint="99"/>
        <w:insideH w:val="single" w:sz="4" w:space="0" w:color="7A99C6" w:themeColor="accent1" w:themeTint="99"/>
        <w:insideV w:val="single" w:sz="4" w:space="0" w:color="7A99C6" w:themeColor="accent1" w:themeTint="99"/>
      </w:tblBorders>
    </w:tblPr>
    <w:tblStylePr w:type="firstRow">
      <w:rPr>
        <w:b/>
        <w:bCs/>
        <w:color w:val="FFFFFF" w:themeColor="background1"/>
      </w:rPr>
      <w:tblPr/>
      <w:tcPr>
        <w:tcBorders>
          <w:top w:val="single" w:sz="4" w:space="0" w:color="3A5A88" w:themeColor="accent1"/>
          <w:left w:val="single" w:sz="4" w:space="0" w:color="3A5A88" w:themeColor="accent1"/>
          <w:bottom w:val="single" w:sz="4" w:space="0" w:color="3A5A88" w:themeColor="accent1"/>
          <w:right w:val="single" w:sz="4" w:space="0" w:color="3A5A88" w:themeColor="accent1"/>
          <w:insideH w:val="nil"/>
          <w:insideV w:val="nil"/>
        </w:tcBorders>
        <w:shd w:val="clear" w:color="auto" w:fill="3A5A88" w:themeFill="accent1"/>
      </w:tcPr>
    </w:tblStylePr>
    <w:tblStylePr w:type="lastRow">
      <w:rPr>
        <w:b/>
        <w:bCs/>
      </w:rPr>
      <w:tblPr/>
      <w:tcPr>
        <w:tcBorders>
          <w:top w:val="double" w:sz="4" w:space="0" w:color="3A5A88" w:themeColor="accent1"/>
        </w:tcBorders>
      </w:tcPr>
    </w:tblStylePr>
    <w:tblStylePr w:type="firstCol">
      <w:rPr>
        <w:b/>
        <w:bCs/>
      </w:rPr>
    </w:tblStylePr>
    <w:tblStylePr w:type="lastCol">
      <w:rPr>
        <w:b/>
        <w:bCs/>
      </w:rPr>
    </w:tblStylePr>
    <w:tblStylePr w:type="band1Vert">
      <w:tblPr/>
      <w:tcPr>
        <w:shd w:val="clear" w:color="auto" w:fill="D2DCEC" w:themeFill="accent1" w:themeFillTint="33"/>
      </w:tcPr>
    </w:tblStylePr>
    <w:tblStylePr w:type="band1Horz">
      <w:tblPr/>
      <w:tcPr>
        <w:shd w:val="clear" w:color="auto" w:fill="D2DCEC" w:themeFill="accent1" w:themeFillTint="33"/>
      </w:tcPr>
    </w:tblStylePr>
  </w:style>
  <w:style w:type="table" w:customStyle="1" w:styleId="RD">
    <w:name w:val="RD"/>
    <w:basedOn w:val="TableNormal"/>
    <w:uiPriority w:val="99"/>
    <w:rsid w:val="00AB3CEE"/>
    <w:pPr>
      <w:spacing w:before="120" w:after="120" w:line="240" w:lineRule="auto"/>
    </w:pPr>
    <w:rPr>
      <w:rFonts w:ascii="Aptos" w:hAnsi="Aptos"/>
      <w:sz w:val="26"/>
    </w:rPr>
    <w:tblPr>
      <w:tblBorders>
        <w:top w:val="single" w:sz="8" w:space="0" w:color="467C81" w:themeColor="accent3"/>
        <w:bottom w:val="single" w:sz="18" w:space="0" w:color="467C81" w:themeColor="accent3"/>
        <w:insideH w:val="single" w:sz="8" w:space="0" w:color="467C81" w:themeColor="accent3"/>
      </w:tblBorders>
    </w:tblPr>
    <w:tblStylePr w:type="firstRow">
      <w:pPr>
        <w:wordWrap/>
        <w:spacing w:beforeLines="0" w:before="120" w:beforeAutospacing="0" w:afterLines="0" w:after="120" w:afterAutospacing="0"/>
        <w:jc w:val="left"/>
      </w:pPr>
      <w:rPr>
        <w:rFonts w:ascii="Aptos SemiBold" w:hAnsi="Aptos SemiBold"/>
        <w:b/>
        <w:color w:val="FFFFFF" w:themeColor="background1"/>
        <w:sz w:val="32"/>
      </w:rPr>
      <w:tblPr/>
      <w:trPr>
        <w:tblHeader/>
      </w:trPr>
      <w:tcPr>
        <w:tcBorders>
          <w:top w:val="nil"/>
          <w:left w:val="nil"/>
          <w:bottom w:val="single" w:sz="8" w:space="0" w:color="467C81" w:themeColor="accent3"/>
          <w:right w:val="nil"/>
          <w:insideH w:val="nil"/>
          <w:insideV w:val="nil"/>
          <w:tl2br w:val="nil"/>
          <w:tr2bl w:val="nil"/>
        </w:tcBorders>
        <w:shd w:val="clear" w:color="auto" w:fill="467C81" w:themeFill="accent3"/>
      </w:tcPr>
    </w:tblStylePr>
    <w:tblStylePr w:type="firstCol">
      <w:tblPr/>
      <w:tcPr>
        <w:tcBorders>
          <w:top w:val="single" w:sz="8" w:space="0" w:color="467C81" w:themeColor="accent3"/>
          <w:left w:val="nil"/>
          <w:bottom w:val="single" w:sz="18" w:space="0" w:color="467C81" w:themeColor="accent3"/>
          <w:right w:val="nil"/>
          <w:insideH w:val="single" w:sz="4" w:space="0" w:color="467C81" w:themeColor="accent3"/>
          <w:insideV w:val="nil"/>
          <w:tl2br w:val="nil"/>
          <w:tr2bl w:val="nil"/>
        </w:tcBorders>
        <w:shd w:val="clear" w:color="auto" w:fill="D6E7E9" w:themeFill="accent3" w:themeFillTint="33"/>
      </w:tcPr>
    </w:tblStylePr>
  </w:style>
  <w:style w:type="paragraph" w:styleId="Caption">
    <w:name w:val="caption"/>
    <w:basedOn w:val="Normal"/>
    <w:next w:val="Normal"/>
    <w:uiPriority w:val="35"/>
    <w:unhideWhenUsed/>
    <w:qFormat/>
    <w:rsid w:val="00CD5DC0"/>
    <w:pPr>
      <w:spacing w:after="200" w:line="240" w:lineRule="auto"/>
    </w:pPr>
    <w:rPr>
      <w:i/>
      <w:iCs/>
      <w:color w:val="182741" w:themeColor="text2"/>
      <w:sz w:val="18"/>
      <w:szCs w:val="18"/>
    </w:rPr>
  </w:style>
  <w:style w:type="paragraph" w:styleId="Revision">
    <w:name w:val="Revision"/>
    <w:hidden/>
    <w:uiPriority w:val="99"/>
    <w:semiHidden/>
    <w:rsid w:val="002244BA"/>
    <w:pPr>
      <w:spacing w:after="0" w:line="240" w:lineRule="auto"/>
    </w:pPr>
    <w:rPr>
      <w:rFonts w:ascii="Aptos" w:hAnsi="Aptos"/>
      <w:sz w:val="26"/>
    </w:rPr>
  </w:style>
  <w:style w:type="paragraph" w:styleId="BalloonText">
    <w:name w:val="Balloon Text"/>
    <w:basedOn w:val="Normal"/>
    <w:link w:val="BalloonTextChar"/>
    <w:uiPriority w:val="99"/>
    <w:semiHidden/>
    <w:unhideWhenUsed/>
    <w:rsid w:val="003F4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6F9"/>
    <w:rPr>
      <w:rFonts w:ascii="Segoe UI" w:hAnsi="Segoe UI" w:cs="Segoe UI"/>
      <w:sz w:val="18"/>
      <w:szCs w:val="18"/>
    </w:rPr>
  </w:style>
  <w:style w:type="paragraph" w:styleId="PlainText">
    <w:name w:val="Plain Text"/>
    <w:basedOn w:val="Normal"/>
    <w:link w:val="PlainTextChar"/>
    <w:uiPriority w:val="99"/>
    <w:semiHidden/>
    <w:unhideWhenUsed/>
    <w:rsid w:val="00A46A4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46A4B"/>
    <w:rPr>
      <w:rFonts w:ascii="Consolas" w:hAnsi="Consolas"/>
      <w:sz w:val="21"/>
      <w:szCs w:val="21"/>
    </w:rPr>
  </w:style>
  <w:style w:type="character" w:styleId="UnresolvedMention">
    <w:name w:val="Unresolved Mention"/>
    <w:basedOn w:val="DefaultParagraphFont"/>
    <w:uiPriority w:val="99"/>
    <w:rsid w:val="003C7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ublicsafety.gc.ca/cnt/rsrcs/pblctns/fnl-mltsystmc-thrpy-prgrm/fnl-mltsystmc-thrpy-prgrm-fra.pdf" TargetMode="External"/><Relationship Id="rId21" Type="http://schemas.openxmlformats.org/officeDocument/2006/relationships/footer" Target="footer3.xml"/><Relationship Id="rId34" Type="http://schemas.openxmlformats.org/officeDocument/2006/relationships/hyperlink" Target="https://doi.org/10.1177/0011128705281756" TargetMode="External"/><Relationship Id="rId42" Type="http://schemas.openxmlformats.org/officeDocument/2006/relationships/hyperlink" Target="https://doi.org/10.1007/s40865-019-00112-9" TargetMode="External"/><Relationship Id="rId47" Type="http://schemas.openxmlformats.org/officeDocument/2006/relationships/hyperlink" Target="https://files.ontario.ca/edu-2324-sea-guidelines-fr-2023-04-21.pdf" TargetMode="External"/><Relationship Id="rId50" Type="http://schemas.openxmlformats.org/officeDocument/2006/relationships/hyperlink" Target="https://doi.org/10.1037/lhb0000170" TargetMode="External"/><Relationship Id="rId55" Type="http://schemas.openxmlformats.org/officeDocument/2006/relationships/hyperlink" Target="https://publications.gc.ca/collections/collection_2018/dpb-pbo/YN5-152-2018-fra.pdf" TargetMode="External"/><Relationship Id="rId63" Type="http://schemas.openxmlformats.org/officeDocument/2006/relationships/hyperlink" Target="https://casott.on.ca/fr/notre-rapport-annuel-2023-2024/"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4.xml"/><Relationship Id="rId11" Type="http://schemas.openxmlformats.org/officeDocument/2006/relationships/endnotes" Target="endnotes.xml"/><Relationship Id="rId24" Type="http://schemas.openxmlformats.org/officeDocument/2006/relationships/image" Target="media/image4.jpeg"/><Relationship Id="rId32" Type="http://schemas.openxmlformats.org/officeDocument/2006/relationships/footer" Target="footer5.xml"/><Relationship Id="rId37" Type="http://schemas.openxmlformats.org/officeDocument/2006/relationships/hyperlink" Target="https://cflaw.ca/practice-area/toronto-uttering-threats-lawyer" TargetMode="External"/><Relationship Id="rId40" Type="http://schemas.openxmlformats.org/officeDocument/2006/relationships/hyperlink" Target="https://www.publicsafety.gc.ca/cnt/rsrcs/pblctns/2015-r018/2015-r018-fr.pdf" TargetMode="External"/><Relationship Id="rId45" Type="http://schemas.openxmlformats.org/officeDocument/2006/relationships/hyperlink" Target="https://open.alberta.ca/publications/safe-communities-innovation-fund-pilot-project-executive-summaries%23summary" TargetMode="External"/><Relationship Id="rId53" Type="http://schemas.openxmlformats.org/officeDocument/2006/relationships/hyperlink" Target="https://www.justice.gc.ca/fra/pr-rp/jr/ccc2014/index.html" TargetMode="External"/><Relationship Id="rId58" Type="http://schemas.openxmlformats.org/officeDocument/2006/relationships/hyperlink" Target="https://www.publicsafety.gc.ca/lbrr/archives/cnmcs-plcng/cn35739-01-eng.pdf"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doi.org/10.25318/3510001301-fra" TargetMode="External"/><Relationship Id="rId19" Type="http://schemas.openxmlformats.org/officeDocument/2006/relationships/footer" Target="footer2.xml"/><Relationship Id="rId14" Type="http://schemas.openxmlformats.org/officeDocument/2006/relationships/hyperlink" Target="https://gcdocs.ps-sp.gc.ca/cs/cs/app/nodes/48275714" TargetMode="External"/><Relationship Id="rId22" Type="http://schemas.openxmlformats.org/officeDocument/2006/relationships/hyperlink" Target="https://www.securitepublique.gc.ca/cnt/rsrcs/pblctns/2016-r005/index-fr.aspx" TargetMode="External"/><Relationship Id="rId27" Type="http://schemas.openxmlformats.org/officeDocument/2006/relationships/hyperlink" Target="https://www.tbs-sct.canada.ca/pol/doc-fra.aspx?id=32600" TargetMode="External"/><Relationship Id="rId30" Type="http://schemas.openxmlformats.org/officeDocument/2006/relationships/footer" Target="footer4.xml"/><Relationship Id="rId35" Type="http://schemas.openxmlformats.org/officeDocument/2006/relationships/hyperlink" Target="https://doi.org/10.18584/iipj.2021.12.2.10208" TargetMode="External"/><Relationship Id="rId43" Type="http://schemas.openxmlformats.org/officeDocument/2006/relationships/hyperlink" Target="https://publications.gc.ca/collections/collection_2016/sp-ps/PS113-1-2015-22-fra.pdf" TargetMode="External"/><Relationship Id="rId48" Type="http://schemas.openxmlformats.org/officeDocument/2006/relationships/hyperlink" Target="https://incomesecurity.org/wp-content/uploads/2023/07/Jul-2023-Taux-du-OT-POSPH-et-la-POE_FR.pdf" TargetMode="External"/><Relationship Id="rId56" Type="http://schemas.openxmlformats.org/officeDocument/2006/relationships/hyperlink" Target="https://www.ottawapolice.ca/fr/reports-and-requests/paid-duty-and-events.aspx" TargetMode="External"/><Relationship Id="rId64" Type="http://schemas.openxmlformats.org/officeDocument/2006/relationships/hyperlink" Target="https://westcoastadr.com/comparison-of-costs/" TargetMode="External"/><Relationship Id="rId8" Type="http://schemas.openxmlformats.org/officeDocument/2006/relationships/settings" Target="settings.xml"/><Relationship Id="rId51" Type="http://schemas.openxmlformats.org/officeDocument/2006/relationships/hyperlink" Target="https://www.lawforfamilies.com/5539557-average-cost-child-custody.html"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image" Target="media/image5.jpeg"/><Relationship Id="rId33" Type="http://schemas.openxmlformats.org/officeDocument/2006/relationships/header" Target="header6.xml"/><Relationship Id="rId38" Type="http://schemas.openxmlformats.org/officeDocument/2006/relationships/hyperlink" Target="https://coparenter.com/how-much-does-a-custody-battle-cost/" TargetMode="External"/><Relationship Id="rId46" Type="http://schemas.openxmlformats.org/officeDocument/2006/relationships/hyperlink" Target="https://www.guichetemplois.gc.ca/rapportmarche/salaire-profession/2198/ON?wbdisable=true%20AND" TargetMode="External"/><Relationship Id="rId59" Type="http://schemas.openxmlformats.org/officeDocument/2006/relationships/hyperlink" Target="https://www.securitepublique.gc.ca/cnt/cntrng-crm/crm-prvntn/fndng-prgrms/rsk-fctrs-fr.aspx" TargetMode="External"/><Relationship Id="rId67"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hyperlink" Target="https://familyservicesottawa.org/fr/services-and-programs/gestion-de-la-colere-surtout-pour-les-parents/" TargetMode="External"/><Relationship Id="rId54" Type="http://schemas.openxmlformats.org/officeDocument/2006/relationships/hyperlink" Target="https://www.securitepublique.gc.ca/cnt/rsrcs/pblctns/cnmc-nlss/cnmc-nlss-fra.pdf" TargetMode="External"/><Relationship Id="rId62" Type="http://schemas.openxmlformats.org/officeDocument/2006/relationships/hyperlink" Target="https://online.hbs.edu/blog/post/cost-benefit-analysi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publicsafety.gc.ca/cnt/rsrcs/pblctns/tlrs-stry-r001-2026/mthdlgcl-cmpnn-en.aspx" TargetMode="External"/><Relationship Id="rId23" Type="http://schemas.openxmlformats.org/officeDocument/2006/relationships/image" Target="media/image3.jpeg"/><Relationship Id="rId28" Type="http://schemas.openxmlformats.org/officeDocument/2006/relationships/hyperlink" Target="https://www.banqueducanada.ca/taux/renseignements-complementaires/feuille-de-calcul-de-linflation/?theme_mode=light" TargetMode="External"/><Relationship Id="rId36" Type="http://schemas.openxmlformats.org/officeDocument/2006/relationships/hyperlink" Target="https://www.cciph.ca/ontario-fees" TargetMode="External"/><Relationship Id="rId49" Type="http://schemas.openxmlformats.org/officeDocument/2006/relationships/hyperlink" Target="https://evaluation.ces.ncsu.edu/wp-content/uploads/2013/04/Learn_How_to_Analyze_Cost_Benefits.pdf?fwd=no" TargetMode="External"/><Relationship Id="rId57" Type="http://schemas.openxmlformats.org/officeDocument/2006/relationships/hyperlink" Target="https://bpspsychub.onlinelibrary.wiley.com/doi/10.1111/j.2044-8333.2011.02038.x" TargetMode="External"/><Relationship Id="rId10" Type="http://schemas.openxmlformats.org/officeDocument/2006/relationships/footnotes" Target="footnotes.xml"/><Relationship Id="rId31" Type="http://schemas.openxmlformats.org/officeDocument/2006/relationships/header" Target="header5.xml"/><Relationship Id="rId44" Type="http://schemas.openxmlformats.org/officeDocument/2006/relationships/hyperlink" Target="https://doi.org/10.47739/2374-0124/1018" TargetMode="External"/><Relationship Id="rId52" Type="http://schemas.openxmlformats.org/officeDocument/2006/relationships/hyperlink" Target="https://lemieuxlaw.ca/how-much-does-a-family-lawyer-cost/" TargetMode="External"/><Relationship Id="rId60" Type="http://schemas.openxmlformats.org/officeDocument/2006/relationships/hyperlink" Target="https://www.qch.on.ca/UninsuredandNon-residentFees" TargetMode="External"/><Relationship Id="rId65" Type="http://schemas.openxmlformats.org/officeDocument/2006/relationships/hyperlink" Target="https://www.ylaw.ca/blog/how-much-do-bc-family-law-trials-cost-vancouver-family-lawyer-explains/"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can01.safelinks.protection.outlook.com/?url=https%3A%2F%2Fwww.securitepublique.gc.ca%2Fcnt%2Frsrcs%2Fpblctns%2Ftlrs-stry-r001-2026%2Fmthdlgcl-cmpnn-fr.aspx&amp;data=05%7C02%7CAllyson.Green%40ps-sp.gc.ca%7Ce79f3a50c0534ed9184808de64e70e70%7C2d28dd40a4f24317a351bc709c183c85%7C0%7C0%7C639059141624018089%7CUnknown%7CTWFpbGZsb3d8eyJFbXB0eU1hcGkiOnRydWUsIlYiOiIwLjAuMDAwMCIsIlAiOiJXaW4zMiIsIkFOIjoiTWFpbCIsIldUIjoyfQ%3D%3D%7C0%7C%7C%7C&amp;sdata=bLK7KHihbNJ6WzsjeVob%2FiYH1onjbfhldLka%2FzDQ2lY%3D&amp;reserved=0" TargetMode="External"/><Relationship Id="rId18" Type="http://schemas.openxmlformats.org/officeDocument/2006/relationships/footer" Target="footer1.xml"/><Relationship Id="rId39" Type="http://schemas.openxmlformats.org/officeDocument/2006/relationships/hyperlink" Target="https://publications.gc.ca/collections/collection_2016/sp-ps/PS113-1-2015-11-fr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Nicot\Desktop\DRAFT_Accessible-Report-Template_EN_v6.dotx" TargetMode="External"/></Relationships>
</file>

<file path=word/theme/theme1.xml><?xml version="1.0" encoding="utf-8"?>
<a:theme xmlns:a="http://schemas.openxmlformats.org/drawingml/2006/main" name="Office Theme">
  <a:themeElements>
    <a:clrScheme name="RD colour palette">
      <a:dk1>
        <a:srgbClr val="000000"/>
      </a:dk1>
      <a:lt1>
        <a:sysClr val="window" lastClr="FFFFFF"/>
      </a:lt1>
      <a:dk2>
        <a:srgbClr val="182741"/>
      </a:dk2>
      <a:lt2>
        <a:srgbClr val="E7E6E6"/>
      </a:lt2>
      <a:accent1>
        <a:srgbClr val="3A5A88"/>
      </a:accent1>
      <a:accent2>
        <a:srgbClr val="8F5629"/>
      </a:accent2>
      <a:accent3>
        <a:srgbClr val="467C81"/>
      </a:accent3>
      <a:accent4>
        <a:srgbClr val="906F31"/>
      </a:accent4>
      <a:accent5>
        <a:srgbClr val="6175AE"/>
      </a:accent5>
      <a:accent6>
        <a:srgbClr val="20393C"/>
      </a:accent6>
      <a:hlink>
        <a:srgbClr val="335289"/>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060281D55F814BAC7937308C053EE1" ma:contentTypeVersion="18" ma:contentTypeDescription="Create a new document." ma:contentTypeScope="" ma:versionID="decdde7e2e4a97589d59ee5dc7bc3f31">
  <xsd:schema xmlns:xsd="http://www.w3.org/2001/XMLSchema" xmlns:xs="http://www.w3.org/2001/XMLSchema" xmlns:p="http://schemas.microsoft.com/office/2006/metadata/properties" xmlns:ns3="37beba5d-6924-4787-92c9-4341cda936b0" xmlns:ns4="b04d95d5-156d-4201-8a67-9e3be4ca8648" targetNamespace="http://schemas.microsoft.com/office/2006/metadata/properties" ma:root="true" ma:fieldsID="6a0b4737c3944bacdefc03d11ca7edcf" ns3:_="" ns4:_="">
    <xsd:import namespace="37beba5d-6924-4787-92c9-4341cda936b0"/>
    <xsd:import namespace="b04d95d5-156d-4201-8a67-9e3be4ca86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eba5d-6924-4787-92c9-4341cda93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4d95d5-156d-4201-8a67-9e3be4ca86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7beba5d-6924-4787-92c9-4341cda936b0" xsi:nil="true"/>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_activity xmlns="37beba5d-6924-4787-92c9-4341cda936b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F6E6BB-CEDF-44E3-9E84-D829FBCA3BE5}">
  <ds:schemaRefs>
    <ds:schemaRef ds:uri="http://schemas.openxmlformats.org/officeDocument/2006/bibliography"/>
  </ds:schemaRefs>
</ds:datastoreItem>
</file>

<file path=customXml/itemProps2.xml><?xml version="1.0" encoding="utf-8"?>
<ds:datastoreItem xmlns:ds="http://schemas.openxmlformats.org/officeDocument/2006/customXml" ds:itemID="{409EC374-D9BF-432C-84BD-E11271579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eba5d-6924-4787-92c9-4341cda936b0"/>
    <ds:schemaRef ds:uri="b04d95d5-156d-4201-8a67-9e3be4ca8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05830-14BA-4F82-8B8B-C1ADD38B2056}">
  <ds:schemaRefs>
    <ds:schemaRef ds:uri="http://schemas.microsoft.com/office/2006/metadata/properties"/>
    <ds:schemaRef ds:uri="http://schemas.microsoft.com/office/infopath/2007/PartnerControls"/>
    <ds:schemaRef ds:uri="37beba5d-6924-4787-92c9-4341cda936b0"/>
  </ds:schemaRefs>
</ds:datastoreItem>
</file>

<file path=customXml/itemProps4.xml><?xml version="1.0" encoding="utf-8"?>
<ds:datastoreItem xmlns:ds="http://schemas.openxmlformats.org/officeDocument/2006/customXml" ds:itemID="{764FB0DF-0D3E-4DEA-BAD2-66E860AF7579}">
  <ds:schemaRefs>
    <ds:schemaRef ds:uri="http://schemas.microsoft.com/office/2006/metadata/properties"/>
    <ds:schemaRef ds:uri="http://schemas.microsoft.com/office/infopath/2007/PartnerControls"/>
    <ds:schemaRef ds:uri="37beba5d-6924-4787-92c9-4341cda936b0"/>
  </ds:schemaRefs>
</ds:datastoreItem>
</file>

<file path=customXml/itemProps5.xml><?xml version="1.0" encoding="utf-8"?>
<ds:datastoreItem xmlns:ds="http://schemas.openxmlformats.org/officeDocument/2006/customXml" ds:itemID="{C88E1E0B-C38B-47B1-A8E3-BDB6B44844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DRAFT_Accessible-Report-Template_EN_v6</Template>
  <TotalTime>7215</TotalTime>
  <Pages>1</Pages>
  <Words>8646</Words>
  <Characters>45742</Characters>
  <Application>Microsoft Office Word</Application>
  <DocSecurity>8</DocSecurity>
  <Lines>1039</Lines>
  <Paragraphs>489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Nicot, Elisa (elle, her | elle, la)</dc:creator>
  <cp:lastModifiedBy>Green, Allyson (she, her | elle, la)</cp:lastModifiedBy>
  <cp:revision>189</cp:revision>
  <cp:lastPrinted>2025-04-29T19:30:00Z</cp:lastPrinted>
  <dcterms:created xsi:type="dcterms:W3CDTF">2025-04-02T19:05:00Z</dcterms:created>
  <dcterms:modified xsi:type="dcterms:W3CDTF">2026-02-09T20:29:00Z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#008000,10,Calibri</vt:lpwstr>
  </property>
  <property fmtid="{D5CDD505-2E9C-101B-9397-08002B2CF9AE}" pid="3" name="ClassificationContentMarkingFooterShapeIds">
    <vt:lpwstr>9,a,c</vt:lpwstr>
  </property>
  <property fmtid="{D5CDD505-2E9C-101B-9397-08002B2CF9AE}" pid="4" name="ClassificationContentMarkingFooterText">
    <vt:lpwstr>Unclassified | Non classifié</vt:lpwstr>
  </property>
  <property fmtid="{D5CDD505-2E9C-101B-9397-08002B2CF9AE}" pid="5" name="ClassificationContentMarkingHeaderFontProps">
    <vt:lpwstr>#008000,10,Calibri</vt:lpwstr>
  </property>
  <property fmtid="{D5CDD505-2E9C-101B-9397-08002B2CF9AE}" pid="6" name="ClassificationContentMarkingHeaderShapeIds">
    <vt:lpwstr>1,6,8</vt:lpwstr>
  </property>
  <property fmtid="{D5CDD505-2E9C-101B-9397-08002B2CF9AE}" pid="7" name="ClassificationContentMarkingHeaderText">
    <vt:lpwstr>Unclassified | Non classifié</vt:lpwstr>
  </property>
  <property fmtid="{D5CDD505-2E9C-101B-9397-08002B2CF9AE}" pid="8" name="ContentTypeId">
    <vt:lpwstr>0x010100DA060281D55F814BAC7937308C053EE1</vt:lpwstr>
  </property>
  <property fmtid="{D5CDD505-2E9C-101B-9397-08002B2CF9AE}" pid="9" name="MSIP_Label_1dc9ef4b-740a-42cb-ab8b-01034c2f2fff_ActionId">
    <vt:lpwstr>554372fa-b1ee-435d-9e5f-eff42bfcae0e</vt:lpwstr>
  </property>
  <property fmtid="{D5CDD505-2E9C-101B-9397-08002B2CF9AE}" pid="10" name="MSIP_Label_1dc9ef4b-740a-42cb-ab8b-01034c2f2fff_ContentBits">
    <vt:lpwstr>3</vt:lpwstr>
  </property>
  <property fmtid="{D5CDD505-2E9C-101B-9397-08002B2CF9AE}" pid="11" name="MSIP_Label_1dc9ef4b-740a-42cb-ab8b-01034c2f2fff_Enabled">
    <vt:lpwstr>true</vt:lpwstr>
  </property>
  <property fmtid="{D5CDD505-2E9C-101B-9397-08002B2CF9AE}" pid="12" name="MSIP_Label_1dc9ef4b-740a-42cb-ab8b-01034c2f2fff_Method">
    <vt:lpwstr>Privileged</vt:lpwstr>
  </property>
  <property fmtid="{D5CDD505-2E9C-101B-9397-08002B2CF9AE}" pid="13" name="MSIP_Label_1dc9ef4b-740a-42cb-ab8b-01034c2f2fff_Name">
    <vt:lpwstr>Standard Unclass-nonclass</vt:lpwstr>
  </property>
  <property fmtid="{D5CDD505-2E9C-101B-9397-08002B2CF9AE}" pid="14" name="MSIP_Label_1dc9ef4b-740a-42cb-ab8b-01034c2f2fff_SetDate">
    <vt:lpwstr>2023-08-30T16:19:10Z</vt:lpwstr>
  </property>
  <property fmtid="{D5CDD505-2E9C-101B-9397-08002B2CF9AE}" pid="15" name="MSIP_Label_1dc9ef4b-740a-42cb-ab8b-01034c2f2fff_SiteId">
    <vt:lpwstr>2d28dd40-a4f2-4317-a351-bc709c183c85</vt:lpwstr>
  </property>
  <property fmtid="{D5CDD505-2E9C-101B-9397-08002B2CF9AE}" pid="16" name="MSIP_Label_7cbc06e0-24cf-4f56-bab7-78e3f0d940b7_ActionId">
    <vt:lpwstr>a413addb-0918-4765-b79a-dfa8078d25ba</vt:lpwstr>
  </property>
  <property fmtid="{D5CDD505-2E9C-101B-9397-08002B2CF9AE}" pid="17" name="MSIP_Label_7cbc06e0-24cf-4f56-bab7-78e3f0d940b7_ContentBits">
    <vt:lpwstr>0</vt:lpwstr>
  </property>
  <property fmtid="{D5CDD505-2E9C-101B-9397-08002B2CF9AE}" pid="18" name="MSIP_Label_7cbc06e0-24cf-4f56-bab7-78e3f0d940b7_Enabled">
    <vt:lpwstr>true</vt:lpwstr>
  </property>
  <property fmtid="{D5CDD505-2E9C-101B-9397-08002B2CF9AE}" pid="19" name="MSIP_Label_7cbc06e0-24cf-4f56-bab7-78e3f0d940b7_Method">
    <vt:lpwstr>Privileged</vt:lpwstr>
  </property>
  <property fmtid="{D5CDD505-2E9C-101B-9397-08002B2CF9AE}" pid="20" name="MSIP_Label_7cbc06e0-24cf-4f56-bab7-78e3f0d940b7_Name">
    <vt:lpwstr>Unclassified-Non classifié</vt:lpwstr>
  </property>
  <property fmtid="{D5CDD505-2E9C-101B-9397-08002B2CF9AE}" pid="21" name="MSIP_Label_7cbc06e0-24cf-4f56-bab7-78e3f0d940b7_SetDate">
    <vt:lpwstr>2025-03-10T14:12:08Z</vt:lpwstr>
  </property>
  <property fmtid="{D5CDD505-2E9C-101B-9397-08002B2CF9AE}" pid="22" name="MSIP_Label_7cbc06e0-24cf-4f56-bab7-78e3f0d940b7_SiteId">
    <vt:lpwstr>cd9584b2-f14c-48ae-a87a-edb195f4877e</vt:lpwstr>
  </property>
  <property fmtid="{D5CDD505-2E9C-101B-9397-08002B2CF9AE}" pid="23" name="_NewReviewCycle">
    <vt:lpwstr/>
  </property>
  <property fmtid="{D5CDD505-2E9C-101B-9397-08002B2CF9AE}" pid="24" name="RunPrepV5.2.2">
    <vt:lpwstr>7/21/2025 2:33:29 PM</vt:lpwstr>
  </property>
  <property fmtid="{D5CDD505-2E9C-101B-9397-08002B2CF9AE}" pid="25" name="_AdHocReviewCycleID">
    <vt:i4>-955926792</vt:i4>
  </property>
  <property fmtid="{D5CDD505-2E9C-101B-9397-08002B2CF9AE}" pid="26" name="_EmailSubject">
    <vt:lpwstr>PUBLISH/CODING: PS Website - Tyler's Story (RD)</vt:lpwstr>
  </property>
  <property fmtid="{D5CDD505-2E9C-101B-9397-08002B2CF9AE}" pid="27" name="_AuthorEmail">
    <vt:lpwstr>Ben.Wilson@PS-SP.GC.CA</vt:lpwstr>
  </property>
  <property fmtid="{D5CDD505-2E9C-101B-9397-08002B2CF9AE}" pid="28" name="_AuthorEmailDisplayName">
    <vt:lpwstr>Wilson, Benjamin</vt:lpwstr>
  </property>
  <property fmtid="{D5CDD505-2E9C-101B-9397-08002B2CF9AE}" pid="29" name="_PreviousAdHocReviewCycleID">
    <vt:i4>-264741456</vt:i4>
  </property>
</Properties>
</file>